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C844A" w14:textId="77777777" w:rsidR="009D790C" w:rsidRPr="005371FE" w:rsidRDefault="009D790C" w:rsidP="009D790C">
      <w:pPr>
        <w:pStyle w:val="Heading2"/>
      </w:pPr>
      <w:r w:rsidRPr="005371FE">
        <w:t>The registry is responsible for the administration of the Commission.</w:t>
      </w:r>
    </w:p>
    <w:p w14:paraId="014BDAFC" w14:textId="77777777" w:rsidR="009D790C" w:rsidRPr="005371FE" w:rsidRDefault="009D790C" w:rsidP="009D790C"/>
    <w:p w14:paraId="561CAFB1" w14:textId="77777777" w:rsidR="009D790C" w:rsidRPr="005371FE" w:rsidRDefault="009D790C" w:rsidP="009D790C">
      <w:pPr>
        <w:pStyle w:val="Heading3"/>
      </w:pPr>
      <w:r w:rsidRPr="005371FE">
        <w:t>Operations</w:t>
      </w:r>
    </w:p>
    <w:p w14:paraId="258CF158" w14:textId="77777777" w:rsidR="009D790C" w:rsidRPr="00D22543" w:rsidRDefault="009D790C" w:rsidP="009D790C">
      <w:r w:rsidRPr="00D22543">
        <w:rPr>
          <w:lang w:val="en-US"/>
        </w:rPr>
        <w:t>During the 2021-22 fiscal year the Commission received 8,278 notices of which 4,533 were within the Commission’s jurisdiction.</w:t>
      </w:r>
    </w:p>
    <w:p w14:paraId="2B138C52" w14:textId="77777777" w:rsidR="009D790C" w:rsidRPr="00D22543" w:rsidRDefault="009D790C" w:rsidP="009D790C">
      <w:pPr>
        <w:rPr>
          <w:lang w:val="en-US"/>
        </w:rPr>
      </w:pPr>
      <w:r w:rsidRPr="00D22543">
        <w:rPr>
          <w:lang w:val="en-US"/>
        </w:rPr>
        <w:t>The majority of notices within jurisdiction received this financial year were for school attendance, followed by Magistrate Court, child safety and welfare and then domestic violence (DV) offences. Information regarding our performance during the year is located in the Non-financial performance outcomes and the Review of financial performance sections.</w:t>
      </w:r>
    </w:p>
    <w:p w14:paraId="27FAE6FA" w14:textId="77777777" w:rsidR="009D790C" w:rsidRPr="00D22543" w:rsidRDefault="009D790C" w:rsidP="009D790C"/>
    <w:p w14:paraId="5F7BDFB5" w14:textId="77777777" w:rsidR="009D790C" w:rsidRPr="00D22543" w:rsidRDefault="009D790C" w:rsidP="009D790C">
      <w:pPr>
        <w:rPr>
          <w:b/>
          <w:bCs/>
        </w:rPr>
      </w:pPr>
      <w:r w:rsidRPr="00D22543">
        <w:rPr>
          <w:b/>
          <w:bCs/>
        </w:rPr>
        <w:t xml:space="preserve">At a glance </w:t>
      </w:r>
      <w:r w:rsidRPr="00D22543">
        <w:t>–</w:t>
      </w:r>
      <w:r w:rsidRPr="00D22543">
        <w:rPr>
          <w:b/>
          <w:bCs/>
        </w:rPr>
        <w:t xml:space="preserve"> the 2021-22 year</w:t>
      </w:r>
    </w:p>
    <w:tbl>
      <w:tblPr>
        <w:tblStyle w:val="TableGrid"/>
        <w:tblW w:w="8500" w:type="dxa"/>
        <w:tblLook w:val="04A0" w:firstRow="1" w:lastRow="0" w:firstColumn="1" w:lastColumn="0" w:noHBand="0" w:noVBand="1"/>
      </w:tblPr>
      <w:tblGrid>
        <w:gridCol w:w="2689"/>
        <w:gridCol w:w="2693"/>
        <w:gridCol w:w="3118"/>
      </w:tblGrid>
      <w:tr w:rsidR="009D790C" w:rsidRPr="00D22543" w14:paraId="692B0D44" w14:textId="77777777" w:rsidTr="00926567">
        <w:tc>
          <w:tcPr>
            <w:tcW w:w="2689" w:type="dxa"/>
          </w:tcPr>
          <w:p w14:paraId="2E420942" w14:textId="77777777" w:rsidR="009D790C" w:rsidRPr="00D22543" w:rsidRDefault="009D790C" w:rsidP="00926567">
            <w:pPr>
              <w:rPr>
                <w:rFonts w:eastAsiaTheme="minorHAnsi"/>
                <w:b/>
                <w:bCs/>
                <w:lang w:eastAsia="en-US"/>
              </w:rPr>
            </w:pPr>
            <w:r w:rsidRPr="00D22543">
              <w:rPr>
                <w:rFonts w:eastAsiaTheme="minorHAnsi"/>
                <w:b/>
                <w:bCs/>
                <w:lang w:eastAsia="en-US"/>
              </w:rPr>
              <w:t>8,278</w:t>
            </w:r>
          </w:p>
          <w:p w14:paraId="3669EF09" w14:textId="77777777" w:rsidR="009D790C" w:rsidRPr="00D22543" w:rsidRDefault="009D790C" w:rsidP="00926567">
            <w:pPr>
              <w:rPr>
                <w:rFonts w:eastAsiaTheme="minorHAnsi"/>
                <w:lang w:eastAsia="en-US"/>
              </w:rPr>
            </w:pPr>
            <w:r w:rsidRPr="00D22543">
              <w:rPr>
                <w:rFonts w:eastAsiaTheme="minorHAnsi"/>
                <w:lang w:eastAsia="en-US"/>
              </w:rPr>
              <w:t>Agency notices assessed</w:t>
            </w:r>
          </w:p>
        </w:tc>
        <w:tc>
          <w:tcPr>
            <w:tcW w:w="2693" w:type="dxa"/>
          </w:tcPr>
          <w:p w14:paraId="1903FFBE" w14:textId="77777777" w:rsidR="009D790C" w:rsidRPr="00D22543" w:rsidRDefault="009D790C" w:rsidP="00926567">
            <w:pPr>
              <w:rPr>
                <w:rFonts w:eastAsiaTheme="minorHAnsi"/>
                <w:b/>
                <w:bCs/>
                <w:lang w:eastAsia="en-US"/>
              </w:rPr>
            </w:pPr>
            <w:r w:rsidRPr="00D22543">
              <w:rPr>
                <w:rFonts w:eastAsiaTheme="minorHAnsi"/>
                <w:b/>
                <w:bCs/>
                <w:lang w:eastAsia="en-US"/>
              </w:rPr>
              <w:t>4,533</w:t>
            </w:r>
          </w:p>
          <w:p w14:paraId="4976DCD6" w14:textId="77777777" w:rsidR="009D790C" w:rsidRPr="00D22543" w:rsidRDefault="009D790C" w:rsidP="00926567">
            <w:pPr>
              <w:rPr>
                <w:rFonts w:eastAsiaTheme="minorHAnsi"/>
                <w:lang w:eastAsia="en-US"/>
              </w:rPr>
            </w:pPr>
            <w:r w:rsidRPr="00D22543">
              <w:rPr>
                <w:rFonts w:eastAsiaTheme="minorHAnsi"/>
                <w:lang w:eastAsia="en-US"/>
              </w:rPr>
              <w:t>Agency notices deemed within jurisdiction</w:t>
            </w:r>
          </w:p>
        </w:tc>
        <w:tc>
          <w:tcPr>
            <w:tcW w:w="3118" w:type="dxa"/>
          </w:tcPr>
          <w:p w14:paraId="7002DC26" w14:textId="77777777" w:rsidR="009D790C" w:rsidRPr="00D22543" w:rsidRDefault="009D790C" w:rsidP="00926567">
            <w:pPr>
              <w:rPr>
                <w:rFonts w:eastAsiaTheme="minorHAnsi"/>
                <w:b/>
                <w:bCs/>
                <w:lang w:eastAsia="en-US"/>
              </w:rPr>
            </w:pPr>
            <w:r w:rsidRPr="00D22543">
              <w:rPr>
                <w:rFonts w:eastAsiaTheme="minorHAnsi"/>
                <w:b/>
                <w:bCs/>
                <w:lang w:eastAsia="en-US"/>
              </w:rPr>
              <w:t>1,024</w:t>
            </w:r>
          </w:p>
          <w:p w14:paraId="38C498EA" w14:textId="77777777" w:rsidR="009D790C" w:rsidRPr="00D22543" w:rsidRDefault="009D790C" w:rsidP="00926567">
            <w:pPr>
              <w:rPr>
                <w:rFonts w:eastAsiaTheme="minorHAnsi"/>
                <w:lang w:eastAsia="en-US"/>
              </w:rPr>
            </w:pPr>
            <w:r w:rsidRPr="00D22543">
              <w:rPr>
                <w:rFonts w:eastAsiaTheme="minorHAnsi"/>
                <w:lang w:eastAsia="en-US"/>
              </w:rPr>
              <w:t xml:space="preserve">Community members deemed the subject of agency notices </w:t>
            </w:r>
          </w:p>
        </w:tc>
      </w:tr>
      <w:tr w:rsidR="009D790C" w:rsidRPr="005371FE" w14:paraId="06188D5C" w14:textId="77777777" w:rsidTr="00926567">
        <w:tc>
          <w:tcPr>
            <w:tcW w:w="2689" w:type="dxa"/>
          </w:tcPr>
          <w:p w14:paraId="33A8D5C0" w14:textId="77777777" w:rsidR="009D790C" w:rsidRPr="00D22543" w:rsidRDefault="009D790C" w:rsidP="00926567">
            <w:pPr>
              <w:rPr>
                <w:rFonts w:eastAsiaTheme="minorHAnsi"/>
                <w:b/>
                <w:bCs/>
                <w:lang w:eastAsia="en-US"/>
              </w:rPr>
            </w:pPr>
            <w:r w:rsidRPr="00D22543">
              <w:rPr>
                <w:rFonts w:eastAsiaTheme="minorHAnsi"/>
                <w:b/>
                <w:bCs/>
                <w:lang w:eastAsia="en-US"/>
              </w:rPr>
              <w:t>1,096</w:t>
            </w:r>
          </w:p>
          <w:p w14:paraId="6F1CFDBD" w14:textId="77777777" w:rsidR="009D790C" w:rsidRPr="00D22543" w:rsidRDefault="009D790C" w:rsidP="00926567">
            <w:pPr>
              <w:rPr>
                <w:rFonts w:eastAsiaTheme="minorHAnsi"/>
                <w:lang w:eastAsia="en-US"/>
              </w:rPr>
            </w:pPr>
            <w:r w:rsidRPr="00D22543">
              <w:rPr>
                <w:rFonts w:eastAsiaTheme="minorHAnsi"/>
                <w:lang w:eastAsia="en-US"/>
              </w:rPr>
              <w:t>Conferences and hearings held</w:t>
            </w:r>
          </w:p>
        </w:tc>
        <w:tc>
          <w:tcPr>
            <w:tcW w:w="2693" w:type="dxa"/>
          </w:tcPr>
          <w:p w14:paraId="463F3771" w14:textId="77777777" w:rsidR="009D790C" w:rsidRPr="00D22543" w:rsidRDefault="009D790C" w:rsidP="00926567">
            <w:pPr>
              <w:rPr>
                <w:rFonts w:eastAsiaTheme="minorHAnsi"/>
                <w:b/>
                <w:bCs/>
                <w:lang w:eastAsia="en-US"/>
              </w:rPr>
            </w:pPr>
            <w:r w:rsidRPr="00D22543">
              <w:rPr>
                <w:rFonts w:eastAsiaTheme="minorHAnsi"/>
                <w:b/>
                <w:bCs/>
                <w:lang w:eastAsia="en-US"/>
              </w:rPr>
              <w:t>568</w:t>
            </w:r>
          </w:p>
          <w:p w14:paraId="023EC697" w14:textId="77777777" w:rsidR="009D790C" w:rsidRPr="00D22543" w:rsidRDefault="009D790C" w:rsidP="00926567">
            <w:pPr>
              <w:rPr>
                <w:rFonts w:eastAsiaTheme="minorHAnsi"/>
                <w:lang w:eastAsia="en-US"/>
              </w:rPr>
            </w:pPr>
            <w:r w:rsidRPr="00D22543">
              <w:rPr>
                <w:rFonts w:eastAsiaTheme="minorHAnsi"/>
                <w:lang w:eastAsia="en-US"/>
              </w:rPr>
              <w:t>Community members prioritised for conferences and hearings</w:t>
            </w:r>
          </w:p>
        </w:tc>
        <w:tc>
          <w:tcPr>
            <w:tcW w:w="3118" w:type="dxa"/>
          </w:tcPr>
          <w:p w14:paraId="3D554ED8" w14:textId="77777777" w:rsidR="009D790C" w:rsidRPr="00D22543" w:rsidRDefault="009D790C" w:rsidP="00926567">
            <w:pPr>
              <w:rPr>
                <w:rFonts w:eastAsiaTheme="minorHAnsi"/>
                <w:b/>
                <w:bCs/>
                <w:lang w:eastAsia="en-US"/>
              </w:rPr>
            </w:pPr>
            <w:r w:rsidRPr="00D22543">
              <w:rPr>
                <w:rFonts w:eastAsiaTheme="minorHAnsi"/>
                <w:b/>
                <w:bCs/>
                <w:lang w:eastAsia="en-US"/>
              </w:rPr>
              <w:t>0</w:t>
            </w:r>
          </w:p>
          <w:p w14:paraId="0CBE92F6" w14:textId="77777777" w:rsidR="009D790C" w:rsidRPr="005371FE" w:rsidRDefault="009D790C" w:rsidP="00926567">
            <w:pPr>
              <w:rPr>
                <w:rFonts w:eastAsiaTheme="minorHAnsi"/>
                <w:lang w:eastAsia="en-US"/>
              </w:rPr>
            </w:pPr>
            <w:r w:rsidRPr="00D22543">
              <w:rPr>
                <w:rFonts w:eastAsiaTheme="minorHAnsi"/>
                <w:lang w:eastAsia="en-US"/>
              </w:rPr>
              <w:t>Appeals of FRC decisions</w:t>
            </w:r>
          </w:p>
        </w:tc>
      </w:tr>
    </w:tbl>
    <w:p w14:paraId="76F3B96B" w14:textId="77777777" w:rsidR="009D790C" w:rsidRPr="005371FE" w:rsidRDefault="009D790C" w:rsidP="009D790C"/>
    <w:p w14:paraId="7F1D2425" w14:textId="77777777" w:rsidR="009D790C" w:rsidRPr="005371FE" w:rsidRDefault="009D790C" w:rsidP="009D790C">
      <w:pPr>
        <w:pStyle w:val="Heading3"/>
      </w:pPr>
      <w:r w:rsidRPr="005371FE">
        <w:t>A capable administrative workforce is key to an efficient, agile and innovative organisation</w:t>
      </w:r>
      <w:r>
        <w:t>.</w:t>
      </w:r>
    </w:p>
    <w:p w14:paraId="1C009D66" w14:textId="77777777" w:rsidR="009D790C" w:rsidRPr="005371FE" w:rsidRDefault="009D790C" w:rsidP="009D790C">
      <w:r w:rsidRPr="005371FE">
        <w:t>The FRC’s administrative workforce in the Commission’s registry consists of:</w:t>
      </w:r>
    </w:p>
    <w:p w14:paraId="5EA31291" w14:textId="77777777" w:rsidR="009D790C" w:rsidRPr="005371FE" w:rsidRDefault="009D790C" w:rsidP="009D790C">
      <w:pPr>
        <w:pStyle w:val="ListParagraph"/>
        <w:numPr>
          <w:ilvl w:val="0"/>
          <w:numId w:val="20"/>
        </w:numPr>
        <w:spacing w:after="120" w:line="260" w:lineRule="exact"/>
      </w:pPr>
      <w:r w:rsidRPr="005371FE">
        <w:t>the FRC Commissioner (appointed by the Governor in Council for a specified term) who as the Chief Executive Officer (CEO) is responsible for ensuring the efficient discharge of the Commission’s business, appropriate training for registry staff and Local Commissioners, the preparation of corporate documents and achieving the objects of the FRC Act as specified in section 22 of the FRC Act</w:t>
      </w:r>
    </w:p>
    <w:p w14:paraId="310C2D94" w14:textId="77777777" w:rsidR="009D790C" w:rsidRPr="005371FE" w:rsidRDefault="009D790C" w:rsidP="009D790C">
      <w:pPr>
        <w:pStyle w:val="ListParagraph"/>
        <w:numPr>
          <w:ilvl w:val="0"/>
          <w:numId w:val="20"/>
        </w:numPr>
        <w:spacing w:after="120" w:line="260" w:lineRule="exact"/>
      </w:pPr>
      <w:r w:rsidRPr="005371FE">
        <w:t>the Registrar who is responsible for managing the registry and the administrative affairs of the Commission and whose functions, powers and delegation are specified in sections 35 to 37 of the FRC Act</w:t>
      </w:r>
    </w:p>
    <w:p w14:paraId="3B3D45A2" w14:textId="4A524632" w:rsidR="009D790C" w:rsidRPr="005371FE" w:rsidRDefault="009D790C" w:rsidP="009D790C">
      <w:pPr>
        <w:pStyle w:val="ListParagraph"/>
        <w:numPr>
          <w:ilvl w:val="0"/>
          <w:numId w:val="20"/>
        </w:numPr>
        <w:spacing w:after="120" w:line="260" w:lineRule="exact"/>
      </w:pPr>
      <w:r w:rsidRPr="005371FE">
        <w:t xml:space="preserve">the Executive Officer (Finance) who is responsible for </w:t>
      </w:r>
      <w:r w:rsidRPr="005371FE">
        <w:rPr>
          <w:lang w:val="en"/>
        </w:rPr>
        <w:t>providing financial and strategic/corporate advice and support to the Commission’s operations across Cairns and the communities and</w:t>
      </w:r>
    </w:p>
    <w:p w14:paraId="38A51A8A" w14:textId="77777777" w:rsidR="009D790C" w:rsidRPr="005371FE" w:rsidRDefault="009D790C" w:rsidP="009D790C">
      <w:pPr>
        <w:pStyle w:val="ListParagraph"/>
        <w:numPr>
          <w:ilvl w:val="0"/>
          <w:numId w:val="20"/>
        </w:numPr>
        <w:spacing w:after="120" w:line="260" w:lineRule="exact"/>
      </w:pPr>
      <w:r w:rsidRPr="00A56ED0">
        <w:t>14</w:t>
      </w:r>
      <w:r w:rsidRPr="005371FE">
        <w:t xml:space="preserve"> positions across the three teams of Case Management and Monitoring, Coordination and Corporate, including four Local Registry Coordinators appointed under section </w:t>
      </w:r>
      <w:r>
        <w:t>38</w:t>
      </w:r>
      <w:r w:rsidRPr="005371FE">
        <w:t xml:space="preserve"> of the FRC Act to support the efficient and effective operation of the Commission in each of the welfare reform communities.</w:t>
      </w:r>
    </w:p>
    <w:p w14:paraId="30F7ECF0" w14:textId="77777777" w:rsidR="009D790C" w:rsidRPr="005371FE" w:rsidRDefault="009D790C" w:rsidP="009D790C"/>
    <w:p w14:paraId="32496DA2" w14:textId="77777777" w:rsidR="009D790C" w:rsidRPr="005371FE" w:rsidRDefault="009D790C" w:rsidP="009D790C">
      <w:r w:rsidRPr="005371FE">
        <w:br w:type="page"/>
      </w:r>
    </w:p>
    <w:p w14:paraId="45FFAD67" w14:textId="11FB81CE" w:rsidR="009D790C" w:rsidRPr="005371FE" w:rsidRDefault="009D790C" w:rsidP="009D790C">
      <w:r w:rsidRPr="005371FE">
        <w:rPr>
          <w:noProof/>
        </w:rPr>
        <w:lastRenderedPageBreak/>
        <w:drawing>
          <wp:anchor distT="0" distB="0" distL="114300" distR="114300" simplePos="0" relativeHeight="251711488" behindDoc="0" locked="0" layoutInCell="1" allowOverlap="1" wp14:anchorId="7F0A350C" wp14:editId="45A208EB">
            <wp:simplePos x="0" y="0"/>
            <wp:positionH relativeFrom="margin">
              <wp:posOffset>0</wp:posOffset>
            </wp:positionH>
            <wp:positionV relativeFrom="page">
              <wp:posOffset>1871345</wp:posOffset>
            </wp:positionV>
            <wp:extent cx="5202000" cy="28440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02000" cy="2844000"/>
                    </a:xfrm>
                    <a:prstGeom prst="rect">
                      <a:avLst/>
                    </a:prstGeom>
                  </pic:spPr>
                </pic:pic>
              </a:graphicData>
            </a:graphic>
            <wp14:sizeRelH relativeFrom="margin">
              <wp14:pctWidth>0</wp14:pctWidth>
            </wp14:sizeRelH>
            <wp14:sizeRelV relativeFrom="margin">
              <wp14:pctHeight>0</wp14:pctHeight>
            </wp14:sizeRelV>
          </wp:anchor>
        </w:drawing>
      </w:r>
    </w:p>
    <w:p w14:paraId="7CAC222E" w14:textId="77777777" w:rsidR="009D790C" w:rsidRPr="005371FE" w:rsidRDefault="009D790C" w:rsidP="009D790C"/>
    <w:p w14:paraId="72A82FC6" w14:textId="77777777" w:rsidR="009D790C" w:rsidRPr="005371FE" w:rsidRDefault="009D790C" w:rsidP="009D790C"/>
    <w:p w14:paraId="393DC2E1" w14:textId="77777777" w:rsidR="009D790C" w:rsidRPr="005371FE" w:rsidRDefault="009D790C" w:rsidP="009D790C">
      <w:pPr>
        <w:rPr>
          <w:noProof/>
        </w:rPr>
      </w:pPr>
    </w:p>
    <w:p w14:paraId="116A06A3" w14:textId="77777777" w:rsidR="009D790C" w:rsidRPr="005371FE" w:rsidRDefault="009D790C" w:rsidP="009D790C">
      <w:pPr>
        <w:rPr>
          <w:noProof/>
        </w:rPr>
      </w:pPr>
    </w:p>
    <w:p w14:paraId="2B8D46F9" w14:textId="77777777" w:rsidR="009D790C" w:rsidRPr="005371FE" w:rsidRDefault="009D790C" w:rsidP="009D790C">
      <w:pPr>
        <w:rPr>
          <w:noProof/>
        </w:rPr>
      </w:pPr>
    </w:p>
    <w:p w14:paraId="65E89B4B" w14:textId="77777777" w:rsidR="009D790C" w:rsidRPr="005371FE" w:rsidRDefault="009D790C" w:rsidP="009D790C">
      <w:pPr>
        <w:rPr>
          <w:noProof/>
        </w:rPr>
      </w:pPr>
    </w:p>
    <w:p w14:paraId="279A681C" w14:textId="77777777" w:rsidR="009D790C" w:rsidRPr="005371FE" w:rsidRDefault="009D790C" w:rsidP="009D790C">
      <w:pPr>
        <w:rPr>
          <w:noProof/>
        </w:rPr>
      </w:pPr>
    </w:p>
    <w:p w14:paraId="6998C82C" w14:textId="77777777" w:rsidR="009D790C" w:rsidRPr="005371FE" w:rsidRDefault="009D790C" w:rsidP="009D790C">
      <w:pPr>
        <w:rPr>
          <w:noProof/>
        </w:rPr>
      </w:pPr>
    </w:p>
    <w:p w14:paraId="25441D32" w14:textId="77777777" w:rsidR="009D790C" w:rsidRPr="005371FE" w:rsidRDefault="009D790C" w:rsidP="009D790C">
      <w:pPr>
        <w:rPr>
          <w:noProof/>
        </w:rPr>
      </w:pPr>
    </w:p>
    <w:p w14:paraId="4120DF81" w14:textId="77777777" w:rsidR="009D790C" w:rsidRPr="005371FE" w:rsidRDefault="009D790C" w:rsidP="009D790C">
      <w:pPr>
        <w:rPr>
          <w:noProof/>
        </w:rPr>
      </w:pPr>
    </w:p>
    <w:p w14:paraId="252B37A0" w14:textId="77777777" w:rsidR="009D790C" w:rsidRPr="005371FE" w:rsidRDefault="009D790C" w:rsidP="009D790C">
      <w:pPr>
        <w:rPr>
          <w:noProof/>
        </w:rPr>
      </w:pPr>
    </w:p>
    <w:p w14:paraId="0601ADD9" w14:textId="77777777" w:rsidR="009D790C" w:rsidRPr="005371FE" w:rsidRDefault="009D790C" w:rsidP="009D790C">
      <w:pPr>
        <w:rPr>
          <w:noProof/>
        </w:rPr>
      </w:pPr>
    </w:p>
    <w:p w14:paraId="09772491" w14:textId="2AD339BD" w:rsidR="009D790C" w:rsidRPr="005371FE" w:rsidRDefault="009D790C" w:rsidP="009D790C">
      <w:r w:rsidRPr="005371FE">
        <w:t xml:space="preserve">Further details relating to the Commission’s workforce profile can be located in the Governance section of this report. Biographies of Commissioners and the Registrar can be found in the appendices (Appendix </w:t>
      </w:r>
      <w:r w:rsidR="0051024A">
        <w:t>C</w:t>
      </w:r>
      <w:r w:rsidRPr="005371FE">
        <w:t>).</w:t>
      </w:r>
    </w:p>
    <w:p w14:paraId="3AC29423" w14:textId="77777777" w:rsidR="009D790C" w:rsidRPr="005371FE" w:rsidRDefault="009D790C" w:rsidP="009D790C">
      <w:pPr>
        <w:rPr>
          <w:noProof/>
        </w:rPr>
      </w:pPr>
    </w:p>
    <w:p w14:paraId="55B9C4CD" w14:textId="77777777" w:rsidR="009D790C" w:rsidRPr="005371FE" w:rsidRDefault="009D790C" w:rsidP="009D790C">
      <w:pPr>
        <w:pStyle w:val="Heading3"/>
      </w:pPr>
      <w:r w:rsidRPr="005371FE">
        <w:t>A client-centred approach to registry systems and processes</w:t>
      </w:r>
    </w:p>
    <w:p w14:paraId="52BFCE41" w14:textId="1E23706A" w:rsidR="009D790C" w:rsidRPr="005371FE" w:rsidRDefault="009D790C" w:rsidP="009D790C">
      <w:pPr>
        <w:rPr>
          <w:noProof/>
        </w:rPr>
      </w:pPr>
      <w:r w:rsidRPr="006D7E94">
        <w:t>Business and operational strategies this year have continued a focus on maximising results for clients by internally strengthening the FRC model to achieve accountability and continued relevance in a changing policy environment.</w:t>
      </w:r>
      <w:r>
        <w:t xml:space="preserve"> In response to COVID-19 and the postponement of community conferences in early 2022, a new ‘Intensive Case Management’ (ICM) framework was developed to ensure children and vulnerable persons had access to support. Many of our partners servicing the FRC communities were unable to engage clients face to face due to their COVID-19 policy guidelines. The FRC was able to identify, engage and link clients to support services during this temporary phase. The framework is ongoing and designed to work intensively with </w:t>
      </w:r>
      <w:r w:rsidR="00C9064B">
        <w:t xml:space="preserve">targeted </w:t>
      </w:r>
      <w:r>
        <w:t xml:space="preserve">clients </w:t>
      </w:r>
      <w:r w:rsidR="00C9064B">
        <w:t xml:space="preserve">through case management outside of the formal conference </w:t>
      </w:r>
      <w:r w:rsidR="00F657C3">
        <w:t>environment</w:t>
      </w:r>
      <w:r>
        <w:t>.</w:t>
      </w:r>
    </w:p>
    <w:p w14:paraId="23586F07" w14:textId="77777777" w:rsidR="009D790C" w:rsidRPr="005371FE" w:rsidRDefault="009D790C" w:rsidP="009D790C"/>
    <w:p w14:paraId="12A82A1A" w14:textId="11B6B61B" w:rsidR="009D790C" w:rsidRDefault="009D790C" w:rsidP="009D790C">
      <w:r w:rsidRPr="005371FE">
        <w:rPr>
          <w:b/>
          <w:bCs/>
          <w:sz w:val="22"/>
        </w:rPr>
        <w:t>Coordination team</w:t>
      </w:r>
      <w:r w:rsidRPr="005371FE">
        <w:t xml:space="preserve"> – </w:t>
      </w:r>
      <w:r>
        <w:t xml:space="preserve">The coordination team provides ‘on the </w:t>
      </w:r>
      <w:r w:rsidRPr="00373375">
        <w:t>ground’</w:t>
      </w:r>
      <w:r>
        <w:t xml:space="preserve"> </w:t>
      </w:r>
      <w:r w:rsidRPr="00373375">
        <w:t xml:space="preserve">support in each of the </w:t>
      </w:r>
      <w:r>
        <w:t xml:space="preserve">five </w:t>
      </w:r>
      <w:r w:rsidRPr="00373375">
        <w:t>FRC communities</w:t>
      </w:r>
      <w:r>
        <w:t xml:space="preserve">. The four Local Registry Coordinators who work across the five communities </w:t>
      </w:r>
      <w:r w:rsidRPr="00373375">
        <w:t>facilitat</w:t>
      </w:r>
      <w:r>
        <w:t>e</w:t>
      </w:r>
      <w:r w:rsidRPr="00373375">
        <w:t xml:space="preserve"> </w:t>
      </w:r>
      <w:r>
        <w:t xml:space="preserve">client-centred </w:t>
      </w:r>
      <w:r w:rsidRPr="00373375">
        <w:t>conferences</w:t>
      </w:r>
      <w:r>
        <w:t>, manage and coordinate daily operations of the</w:t>
      </w:r>
      <w:r w:rsidR="00594041">
        <w:t>ir</w:t>
      </w:r>
      <w:r>
        <w:t xml:space="preserve"> </w:t>
      </w:r>
      <w:r w:rsidR="00594041">
        <w:t xml:space="preserve">local </w:t>
      </w:r>
      <w:r>
        <w:t>registr</w:t>
      </w:r>
      <w:r w:rsidR="00AB373E">
        <w:t>y</w:t>
      </w:r>
      <w:r>
        <w:t xml:space="preserve">, and inform, and connect residents to </w:t>
      </w:r>
      <w:r w:rsidRPr="00373375">
        <w:t>community support services</w:t>
      </w:r>
      <w:r>
        <w:t>.</w:t>
      </w:r>
      <w:r w:rsidRPr="00373375">
        <w:t xml:space="preserve"> The coordination team work closely with the </w:t>
      </w:r>
      <w:r>
        <w:t>case management and monitoring</w:t>
      </w:r>
      <w:r w:rsidRPr="00373375">
        <w:t xml:space="preserve"> </w:t>
      </w:r>
      <w:r>
        <w:t xml:space="preserve">(CM&amp;M) </w:t>
      </w:r>
      <w:r w:rsidRPr="00373375">
        <w:t xml:space="preserve">team to provide advice and analysis of community operations informed </w:t>
      </w:r>
      <w:r>
        <w:t>by</w:t>
      </w:r>
      <w:r w:rsidRPr="00373375">
        <w:t xml:space="preserve"> their professional relationships with Local Commissioners, FRC clients, community members, Australian, State and Local Government partners and non-government service partners.</w:t>
      </w:r>
    </w:p>
    <w:p w14:paraId="5863D0A8" w14:textId="77777777" w:rsidR="009D790C" w:rsidRDefault="009D790C" w:rsidP="009D790C">
      <w:pPr>
        <w:spacing w:after="160" w:line="259" w:lineRule="auto"/>
      </w:pPr>
      <w:r>
        <w:br w:type="page"/>
      </w:r>
    </w:p>
    <w:p w14:paraId="08489321" w14:textId="77777777" w:rsidR="009D790C" w:rsidRPr="005371FE" w:rsidRDefault="009D790C" w:rsidP="009D790C">
      <w:pPr>
        <w:pStyle w:val="Heading6"/>
      </w:pPr>
      <w:r w:rsidRPr="005371FE">
        <w:lastRenderedPageBreak/>
        <w:t>Activity data for 202</w:t>
      </w:r>
      <w:r>
        <w:t>1</w:t>
      </w:r>
      <w:r w:rsidRPr="005371FE">
        <w:t>-2</w:t>
      </w:r>
      <w:r>
        <w:t>2</w:t>
      </w:r>
      <w:r w:rsidRPr="005371FE">
        <w:t xml:space="preserve"> financial year: Snapshot of coordination team’s workload</w:t>
      </w:r>
    </w:p>
    <w:tbl>
      <w:tblPr>
        <w:tblStyle w:val="TableGrid"/>
        <w:tblW w:w="0" w:type="auto"/>
        <w:tblLook w:val="04A0" w:firstRow="1" w:lastRow="0" w:firstColumn="1" w:lastColumn="0" w:noHBand="0" w:noVBand="1"/>
      </w:tblPr>
      <w:tblGrid>
        <w:gridCol w:w="2831"/>
        <w:gridCol w:w="2831"/>
        <w:gridCol w:w="2832"/>
      </w:tblGrid>
      <w:tr w:rsidR="009D790C" w:rsidRPr="005371FE" w14:paraId="6BE3A6ED" w14:textId="77777777" w:rsidTr="00926567">
        <w:tc>
          <w:tcPr>
            <w:tcW w:w="2831" w:type="dxa"/>
          </w:tcPr>
          <w:p w14:paraId="63410126" w14:textId="77777777" w:rsidR="009D790C" w:rsidRPr="00D22543" w:rsidRDefault="009D790C" w:rsidP="00926567">
            <w:pPr>
              <w:rPr>
                <w:b/>
                <w:bCs/>
              </w:rPr>
            </w:pPr>
            <w:r w:rsidRPr="00D22543">
              <w:rPr>
                <w:b/>
                <w:bCs/>
              </w:rPr>
              <w:t>1,096</w:t>
            </w:r>
          </w:p>
          <w:p w14:paraId="4FD5F66E" w14:textId="77777777" w:rsidR="009D790C" w:rsidRPr="00D22543" w:rsidRDefault="009D790C" w:rsidP="00926567">
            <w:r w:rsidRPr="00D22543">
              <w:t>Conferences and hearings held across five communities – averaging approximately 33 conferences and hearings per week over a 33</w:t>
            </w:r>
            <w:r w:rsidRPr="00D22543">
              <w:rPr>
                <w:rStyle w:val="FootnoteReference"/>
              </w:rPr>
              <w:footnoteReference w:id="1"/>
            </w:r>
            <w:r w:rsidRPr="00D22543">
              <w:t>-week schedule</w:t>
            </w:r>
          </w:p>
        </w:tc>
        <w:tc>
          <w:tcPr>
            <w:tcW w:w="2831" w:type="dxa"/>
          </w:tcPr>
          <w:p w14:paraId="5E5BBBD1" w14:textId="77777777" w:rsidR="009D790C" w:rsidRPr="00D22543" w:rsidRDefault="009D790C" w:rsidP="00926567">
            <w:pPr>
              <w:rPr>
                <w:b/>
                <w:bCs/>
              </w:rPr>
            </w:pPr>
            <w:r w:rsidRPr="00D22543">
              <w:rPr>
                <w:b/>
                <w:bCs/>
              </w:rPr>
              <w:t>1,138</w:t>
            </w:r>
          </w:p>
          <w:p w14:paraId="00412350" w14:textId="32D6ECE9" w:rsidR="009D790C" w:rsidRPr="00D22543" w:rsidRDefault="009D790C" w:rsidP="00926567">
            <w:bookmarkStart w:id="0" w:name="_Hlk110519811"/>
            <w:r w:rsidRPr="00D22543">
              <w:t>Occasions where notices were served on persons to attend conferences and hearings (including clients, support persons and other relevant persons)</w:t>
            </w:r>
            <w:bookmarkEnd w:id="0"/>
          </w:p>
        </w:tc>
        <w:tc>
          <w:tcPr>
            <w:tcW w:w="2832" w:type="dxa"/>
          </w:tcPr>
          <w:p w14:paraId="5DF45421" w14:textId="77777777" w:rsidR="009D790C" w:rsidRPr="00776D3E" w:rsidRDefault="009D790C" w:rsidP="00926567">
            <w:pPr>
              <w:rPr>
                <w:b/>
                <w:bCs/>
              </w:rPr>
            </w:pPr>
            <w:r>
              <w:rPr>
                <w:b/>
                <w:bCs/>
              </w:rPr>
              <w:t>5.</w:t>
            </w:r>
            <w:r w:rsidRPr="00776D3E">
              <w:rPr>
                <w:b/>
                <w:bCs/>
              </w:rPr>
              <w:t>5</w:t>
            </w:r>
          </w:p>
          <w:p w14:paraId="014C6C4E" w14:textId="77777777" w:rsidR="009D790C" w:rsidRPr="00776D3E" w:rsidRDefault="009D790C" w:rsidP="00926567">
            <w:r w:rsidRPr="00776D3E">
              <w:t>Full time employees of the coordination team</w:t>
            </w:r>
          </w:p>
        </w:tc>
      </w:tr>
    </w:tbl>
    <w:p w14:paraId="1787D3F4" w14:textId="77777777" w:rsidR="009D790C" w:rsidRPr="005371FE" w:rsidRDefault="009D790C" w:rsidP="009D790C"/>
    <w:p w14:paraId="50DAEE6A" w14:textId="77777777" w:rsidR="009D790C" w:rsidRPr="00852404" w:rsidRDefault="009D790C" w:rsidP="009D790C">
      <w:r w:rsidRPr="005371FE">
        <w:rPr>
          <w:b/>
          <w:bCs/>
          <w:sz w:val="22"/>
        </w:rPr>
        <w:t>Case management and monitoring team</w:t>
      </w:r>
      <w:r w:rsidRPr="005371FE">
        <w:t xml:space="preserve"> – </w:t>
      </w:r>
      <w:r>
        <w:rPr>
          <w:lang w:val="en-US"/>
        </w:rPr>
        <w:t xml:space="preserve">The CM&amp;M team </w:t>
      </w:r>
      <w:r w:rsidRPr="00776D3E">
        <w:t>is responsible for receiving and processing agency notices, determining jurisdiction, gathering information for Commissioner considerations, setting conference timetables, processing conference outcomes, managing conditional income management (CIM) and voluntary income management (VIM) processes, and ensuring compliance with the FRC Act</w:t>
      </w:r>
      <w:r w:rsidRPr="00776D3E">
        <w:rPr>
          <w:i/>
          <w:iCs/>
        </w:rPr>
        <w:t>.</w:t>
      </w:r>
      <w:r>
        <w:rPr>
          <w:i/>
          <w:iCs/>
        </w:rPr>
        <w:t xml:space="preserve"> </w:t>
      </w:r>
      <w:r>
        <w:t>This year, and particularly from January 2022, during a period where travel to communities was again halted due to COVID-19 restrictions, the FRC’s utilisation of the ICM framework led to the team undertaking a case assessment review and consideration process to identify vulnerable clients who required ongoing supportive intervention notwithstanding the COVID-19 risk.</w:t>
      </w:r>
    </w:p>
    <w:p w14:paraId="79F929E0" w14:textId="77777777" w:rsidR="009D790C" w:rsidRPr="00515405" w:rsidRDefault="009D790C" w:rsidP="009D790C">
      <w:pPr>
        <w:rPr>
          <w:lang w:val="en-US"/>
        </w:rPr>
      </w:pPr>
      <w:r>
        <w:t>During the reporting period, the team continued to focus on capacity building with all team members either attending professional development training or enrolling in further education.</w:t>
      </w:r>
    </w:p>
    <w:p w14:paraId="66C8809E" w14:textId="77777777" w:rsidR="009D790C" w:rsidRPr="005371FE" w:rsidRDefault="009D790C" w:rsidP="009D790C"/>
    <w:p w14:paraId="34FB0C2F" w14:textId="77777777" w:rsidR="009D790C" w:rsidRPr="005371FE" w:rsidRDefault="009D790C" w:rsidP="009D790C">
      <w:pPr>
        <w:pStyle w:val="Heading6"/>
      </w:pPr>
      <w:r w:rsidRPr="005371FE">
        <w:t>Activity data for 202</w:t>
      </w:r>
      <w:r>
        <w:t>1</w:t>
      </w:r>
      <w:r w:rsidRPr="005371FE">
        <w:t>-2</w:t>
      </w:r>
      <w:r>
        <w:t>2</w:t>
      </w:r>
      <w:r w:rsidRPr="005371FE">
        <w:t xml:space="preserve"> financial year: Snapshot of the CM&amp;M team’s workload</w:t>
      </w:r>
    </w:p>
    <w:tbl>
      <w:tblPr>
        <w:tblStyle w:val="TableGrid"/>
        <w:tblW w:w="0" w:type="auto"/>
        <w:tblLook w:val="04A0" w:firstRow="1" w:lastRow="0" w:firstColumn="1" w:lastColumn="0" w:noHBand="0" w:noVBand="1"/>
      </w:tblPr>
      <w:tblGrid>
        <w:gridCol w:w="2831"/>
        <w:gridCol w:w="2831"/>
        <w:gridCol w:w="2832"/>
      </w:tblGrid>
      <w:tr w:rsidR="009D790C" w:rsidRPr="005371FE" w14:paraId="674E2D55" w14:textId="77777777" w:rsidTr="00926567">
        <w:tc>
          <w:tcPr>
            <w:tcW w:w="2831" w:type="dxa"/>
          </w:tcPr>
          <w:p w14:paraId="1E0F384D" w14:textId="77777777" w:rsidR="009D790C" w:rsidRPr="00D22543" w:rsidRDefault="009D790C" w:rsidP="00926567">
            <w:pPr>
              <w:rPr>
                <w:rFonts w:eastAsiaTheme="minorHAnsi"/>
                <w:b/>
                <w:bCs/>
                <w:lang w:eastAsia="en-US"/>
              </w:rPr>
            </w:pPr>
            <w:r w:rsidRPr="00D22543">
              <w:rPr>
                <w:rFonts w:eastAsiaTheme="minorHAnsi"/>
                <w:b/>
                <w:bCs/>
                <w:lang w:eastAsia="en-US"/>
              </w:rPr>
              <w:t>8,278</w:t>
            </w:r>
          </w:p>
          <w:p w14:paraId="48EF918D" w14:textId="77777777" w:rsidR="009D790C" w:rsidRPr="00D22543" w:rsidRDefault="009D790C" w:rsidP="00926567">
            <w:r w:rsidRPr="00D22543">
              <w:t>Agency notices assessed to determine jurisdiction – averaging approximately 159 notices assessed per week</w:t>
            </w:r>
          </w:p>
        </w:tc>
        <w:tc>
          <w:tcPr>
            <w:tcW w:w="2831" w:type="dxa"/>
          </w:tcPr>
          <w:p w14:paraId="29AFB52D" w14:textId="77777777" w:rsidR="009D790C" w:rsidRPr="00D22543" w:rsidRDefault="009D790C" w:rsidP="00926567">
            <w:pPr>
              <w:rPr>
                <w:b/>
                <w:bCs/>
              </w:rPr>
            </w:pPr>
            <w:r w:rsidRPr="00D22543">
              <w:rPr>
                <w:b/>
                <w:bCs/>
              </w:rPr>
              <w:t>346</w:t>
            </w:r>
          </w:p>
          <w:p w14:paraId="54C648DA" w14:textId="77777777" w:rsidR="009D790C" w:rsidRPr="00D22543" w:rsidRDefault="009D790C" w:rsidP="00926567">
            <w:r w:rsidRPr="00D22543">
              <w:t>Community members on non-voluntary active case plans had their progress monitored throughout the year (for periods between 3 to 12 months) following conference</w:t>
            </w:r>
          </w:p>
        </w:tc>
        <w:tc>
          <w:tcPr>
            <w:tcW w:w="2832" w:type="dxa"/>
          </w:tcPr>
          <w:p w14:paraId="55E5B44D" w14:textId="77777777" w:rsidR="009D790C" w:rsidRPr="005371FE" w:rsidRDefault="009D790C" w:rsidP="00926567">
            <w:pPr>
              <w:rPr>
                <w:b/>
                <w:bCs/>
              </w:rPr>
            </w:pPr>
            <w:r w:rsidRPr="00776D3E">
              <w:rPr>
                <w:b/>
                <w:bCs/>
              </w:rPr>
              <w:t>4.5</w:t>
            </w:r>
          </w:p>
          <w:p w14:paraId="6842D765" w14:textId="77777777" w:rsidR="009D790C" w:rsidRPr="005371FE" w:rsidRDefault="009D790C" w:rsidP="00926567">
            <w:r w:rsidRPr="005371FE">
              <w:t>Full time employees of the CM&amp;M team</w:t>
            </w:r>
          </w:p>
        </w:tc>
      </w:tr>
    </w:tbl>
    <w:p w14:paraId="3D2E0872" w14:textId="77777777" w:rsidR="009D790C" w:rsidRPr="005371FE" w:rsidRDefault="009D790C" w:rsidP="009D790C"/>
    <w:p w14:paraId="2A06CCD7" w14:textId="77777777" w:rsidR="009D790C" w:rsidRPr="005371FE" w:rsidRDefault="009D790C" w:rsidP="009D790C">
      <w:r w:rsidRPr="00776D3E">
        <w:t xml:space="preserve">The coordination and CM&amp;M teams together have established a cohesive group to provide high-level support and information to Commissioners </w:t>
      </w:r>
      <w:r>
        <w:t xml:space="preserve">in order </w:t>
      </w:r>
      <w:r w:rsidRPr="00776D3E">
        <w:t>to better inform the delivery of support services to clients in line with the Commission’s focus on more intensive, quality, client-centred conferencing.</w:t>
      </w:r>
    </w:p>
    <w:p w14:paraId="61ED1C42" w14:textId="77777777" w:rsidR="009D790C" w:rsidRPr="005371FE" w:rsidRDefault="009D790C" w:rsidP="009D790C"/>
    <w:p w14:paraId="60620D1B" w14:textId="77777777" w:rsidR="009D790C" w:rsidRPr="00A42D0D" w:rsidRDefault="009D790C" w:rsidP="009D790C">
      <w:r w:rsidRPr="005371FE">
        <w:br w:type="page"/>
      </w:r>
    </w:p>
    <w:p w14:paraId="21E38820" w14:textId="77777777" w:rsidR="009D790C" w:rsidRPr="005371FE" w:rsidRDefault="009D790C" w:rsidP="009D790C">
      <w:pPr>
        <w:pStyle w:val="Heading3"/>
      </w:pPr>
      <w:r w:rsidRPr="005371FE">
        <w:lastRenderedPageBreak/>
        <w:t>Commissioners are responsible for decision-making at conferences and hearings</w:t>
      </w:r>
      <w:r>
        <w:t>.</w:t>
      </w:r>
    </w:p>
    <w:p w14:paraId="30EA006E" w14:textId="77777777" w:rsidR="009D790C" w:rsidRPr="005371FE" w:rsidRDefault="009D790C" w:rsidP="009D790C">
      <w:r w:rsidRPr="005371FE">
        <w:t xml:space="preserve">Commissioner Williams, Deputy Commissioner Curtin and </w:t>
      </w:r>
      <w:r>
        <w:t>38</w:t>
      </w:r>
      <w:r w:rsidRPr="005371FE">
        <w:t xml:space="preserve"> Local Commissioners appointed across the five welfare reform community areas of Aurukun, Coen, Doomadgee, Hope Vale and Mossman Gorge preside over locally convened conferences and hearings involving community members and make legally binding decisions.</w:t>
      </w:r>
    </w:p>
    <w:p w14:paraId="1C1F3668" w14:textId="77777777" w:rsidR="009D790C" w:rsidRPr="005371FE" w:rsidRDefault="009D790C" w:rsidP="009D790C"/>
    <w:p w14:paraId="74770154" w14:textId="77777777" w:rsidR="009D790C" w:rsidRPr="005371FE" w:rsidRDefault="009D790C" w:rsidP="009D790C">
      <w:pPr>
        <w:pStyle w:val="Heading3"/>
      </w:pPr>
      <w:r w:rsidRPr="005371FE">
        <w:t>Constitution of conferences and hearings</w:t>
      </w:r>
    </w:p>
    <w:p w14:paraId="147AF3A5" w14:textId="77777777" w:rsidR="009D790C" w:rsidRPr="005371FE" w:rsidRDefault="009D790C" w:rsidP="009D790C">
      <w:r w:rsidRPr="005371FE">
        <w:t>The FRC’s implementation of additional assurance and oversight mechanisms throughout the 202</w:t>
      </w:r>
      <w:r>
        <w:t>1</w:t>
      </w:r>
      <w:r w:rsidRPr="005371FE">
        <w:t>-2</w:t>
      </w:r>
      <w:r>
        <w:t>2</w:t>
      </w:r>
      <w:r w:rsidRPr="005371FE">
        <w:t xml:space="preserve"> financial year resulted in quality decision-making with improved client-focused outcomes and contributed to the result of no appeals against Commission decisions by community members.</w:t>
      </w:r>
    </w:p>
    <w:p w14:paraId="4BE1CBCB" w14:textId="77777777" w:rsidR="009D790C" w:rsidRPr="005371FE" w:rsidRDefault="009D790C" w:rsidP="009D790C"/>
    <w:p w14:paraId="30541632" w14:textId="77777777" w:rsidR="009D790C" w:rsidRPr="005371FE" w:rsidRDefault="009D790C" w:rsidP="000845D0">
      <w:pPr>
        <w:pStyle w:val="Heading5"/>
      </w:pPr>
      <w:r w:rsidRPr="005371FE">
        <w:t>Commission decisions use local authority and are made within a legal framework</w:t>
      </w:r>
      <w:r>
        <w:t>.</w:t>
      </w:r>
    </w:p>
    <w:p w14:paraId="24E441C6" w14:textId="77777777" w:rsidR="009D790C" w:rsidRPr="005371FE" w:rsidRDefault="009D790C" w:rsidP="009D790C">
      <w:r w:rsidRPr="005371FE">
        <w:t xml:space="preserve">All FRC decisions made at conference require the decision-making panel to comprise of locally appointed Commissioners. During the </w:t>
      </w:r>
      <w:r w:rsidRPr="00D22543">
        <w:t>reporting period 1,078 conferences were held and constituted by using the following combinations:</w:t>
      </w:r>
    </w:p>
    <w:p w14:paraId="63BC18F4" w14:textId="77777777" w:rsidR="009D790C" w:rsidRPr="005371FE" w:rsidRDefault="009D790C" w:rsidP="009D790C">
      <w:pPr>
        <w:pStyle w:val="ListBullet2"/>
        <w:tabs>
          <w:tab w:val="clear" w:pos="643"/>
          <w:tab w:val="num" w:pos="709"/>
        </w:tabs>
        <w:ind w:left="709" w:hanging="283"/>
      </w:pPr>
      <w:r w:rsidRPr="005371FE">
        <w:t xml:space="preserve">three Local Commissioners sitting </w:t>
      </w:r>
      <w:r w:rsidRPr="005371FE">
        <w:rPr>
          <w:b/>
          <w:bCs/>
        </w:rPr>
        <w:t>without the assistance/advice</w:t>
      </w:r>
      <w:r w:rsidRPr="005371FE">
        <w:t xml:space="preserve"> of the FRC Commissioner or Deputy Commissioner (section 50A conferences, monitored under section 50B) with one of the Local Commissioners acting as the Chairperson</w:t>
      </w:r>
    </w:p>
    <w:p w14:paraId="4216222E" w14:textId="77777777" w:rsidR="009D790C" w:rsidRPr="005371FE" w:rsidRDefault="009D790C" w:rsidP="009D790C">
      <w:pPr>
        <w:pStyle w:val="ListBullet2"/>
        <w:tabs>
          <w:tab w:val="clear" w:pos="643"/>
          <w:tab w:val="num" w:pos="709"/>
        </w:tabs>
        <w:ind w:left="709" w:hanging="283"/>
      </w:pPr>
      <w:r w:rsidRPr="005371FE">
        <w:t xml:space="preserve">three Local Commissioners sitting as a panel (section 50A conferences, monitored under section 50B) with one of the Local Commissioners acting as the Chairperson and </w:t>
      </w:r>
      <w:r w:rsidRPr="005371FE">
        <w:rPr>
          <w:b/>
          <w:bCs/>
        </w:rPr>
        <w:t>with assistance/advice</w:t>
      </w:r>
      <w:r w:rsidRPr="005371FE">
        <w:t xml:space="preserve"> provided by the FRC Commissioner or Deputy Commissioner</w:t>
      </w:r>
    </w:p>
    <w:p w14:paraId="662A1ADF" w14:textId="77777777" w:rsidR="009D790C" w:rsidRPr="005371FE" w:rsidRDefault="009D790C" w:rsidP="009D790C">
      <w:pPr>
        <w:pStyle w:val="ListBullet2"/>
        <w:tabs>
          <w:tab w:val="clear" w:pos="643"/>
          <w:tab w:val="num" w:pos="709"/>
        </w:tabs>
        <w:ind w:left="709" w:hanging="283"/>
      </w:pPr>
      <w:r w:rsidRPr="005371FE">
        <w:t>two Local Commissioners sitting with the FRC Commissioner or Deputy Commissioner acting as Chairperson and</w:t>
      </w:r>
    </w:p>
    <w:p w14:paraId="7855C6E2" w14:textId="77777777" w:rsidR="009D790C" w:rsidRPr="005371FE" w:rsidRDefault="009D790C" w:rsidP="009D790C">
      <w:pPr>
        <w:pStyle w:val="ListBullet2"/>
        <w:tabs>
          <w:tab w:val="clear" w:pos="643"/>
          <w:tab w:val="num" w:pos="709"/>
        </w:tabs>
        <w:ind w:left="709" w:hanging="283"/>
      </w:pPr>
      <w:r w:rsidRPr="005371FE">
        <w:t xml:space="preserve">the FRC Commissioner or Deputy Commissioner sitting with one Local Commissioner in a conference conducted pursuant to the </w:t>
      </w:r>
      <w:r w:rsidRPr="005371FE">
        <w:rPr>
          <w:i/>
          <w:iCs/>
        </w:rPr>
        <w:t>Family Responsibilities Commission (COVID-19 Emergency Response) Regulation 2020</w:t>
      </w:r>
      <w:r w:rsidRPr="005371FE">
        <w:t>.</w:t>
      </w:r>
    </w:p>
    <w:p w14:paraId="0DBBBF32" w14:textId="77777777" w:rsidR="009D790C" w:rsidRPr="005371FE" w:rsidRDefault="009D790C" w:rsidP="009D790C">
      <w:r w:rsidRPr="005371FE">
        <w:t>When deciding to hold a conference in relation to a community member named in an agency notice it is the function of the Commissioner to appoint up to three Local Commissioners</w:t>
      </w:r>
      <w:r w:rsidRPr="005371FE">
        <w:rPr>
          <w:rStyle w:val="FootnoteReference"/>
        </w:rPr>
        <w:footnoteReference w:id="2"/>
      </w:r>
      <w:r w:rsidRPr="005371FE">
        <w:t xml:space="preserve"> to comprise the panel and decide the matter, having regard to the knowledge and experience of each Local Commissioner to determine the issues to which the agency notice relates, cultural and gender diversity considerations and potential conflicts of interests.</w:t>
      </w:r>
    </w:p>
    <w:p w14:paraId="76A294A3" w14:textId="77777777" w:rsidR="009D790C" w:rsidRDefault="009D790C" w:rsidP="009D790C">
      <w:r w:rsidRPr="005371FE">
        <w:t xml:space="preserve">As seen in previous years the vast </w:t>
      </w:r>
      <w:r w:rsidRPr="00D22543">
        <w:t>majority (80 percent)</w:t>
      </w:r>
      <w:r w:rsidRPr="005371FE">
        <w:t xml:space="preserve"> of Commission decisions at conference throughout 202</w:t>
      </w:r>
      <w:r>
        <w:t>1</w:t>
      </w:r>
      <w:r w:rsidRPr="005371FE">
        <w:t>-2</w:t>
      </w:r>
      <w:r>
        <w:t>2</w:t>
      </w:r>
      <w:r w:rsidRPr="005371FE">
        <w:t xml:space="preserve"> continue</w:t>
      </w:r>
      <w:r>
        <w:t>d</w:t>
      </w:r>
      <w:r w:rsidRPr="005371FE">
        <w:t xml:space="preserve"> to be made by three Local Commissioners sitting alone to constitute the panel.</w:t>
      </w:r>
    </w:p>
    <w:p w14:paraId="562D2940" w14:textId="59EF1D0E" w:rsidR="009D790C" w:rsidRPr="00A3350D" w:rsidRDefault="009D790C" w:rsidP="009D790C">
      <w:pPr>
        <w:rPr>
          <w:szCs w:val="20"/>
        </w:rPr>
      </w:pPr>
      <w:r>
        <w:rPr>
          <w:szCs w:val="20"/>
        </w:rPr>
        <w:t xml:space="preserve">Due to only two Local Commissioners being appointed to the community of Mossman Gorge during this reporting period, the Mossman Gorge Local Commissioners were unable to hold </w:t>
      </w:r>
      <w:r>
        <w:rPr>
          <w:szCs w:val="20"/>
        </w:rPr>
        <w:lastRenderedPageBreak/>
        <w:t xml:space="preserve">conferences constituted by three Local Commissioners (section 50A conferences), thus negatively impacting the overall </w:t>
      </w:r>
      <w:r w:rsidR="003B72E5">
        <w:rPr>
          <w:szCs w:val="20"/>
        </w:rPr>
        <w:t>percentage</w:t>
      </w:r>
      <w:r>
        <w:rPr>
          <w:szCs w:val="20"/>
        </w:rPr>
        <w:t xml:space="preserve"> of Local Commissioners sitting alone.</w:t>
      </w:r>
    </w:p>
    <w:p w14:paraId="5EAC028B" w14:textId="77777777" w:rsidR="009D790C" w:rsidRPr="005371FE" w:rsidRDefault="009D790C" w:rsidP="009D790C"/>
    <w:p w14:paraId="07EA7860" w14:textId="24D11367" w:rsidR="009D790C" w:rsidRPr="005371FE" w:rsidRDefault="00BD2F5E" w:rsidP="009D790C">
      <w:pPr>
        <w:tabs>
          <w:tab w:val="left" w:pos="1134"/>
        </w:tabs>
        <w:spacing w:after="0" w:line="288" w:lineRule="auto"/>
        <w:ind w:right="-425"/>
        <w:jc w:val="both"/>
        <w:rPr>
          <w:rFonts w:ascii="Verdana" w:eastAsia="Times New Roman" w:hAnsi="Verdana" w:cs="Times New Roman"/>
          <w:noProof/>
        </w:rPr>
      </w:pPr>
      <w:r w:rsidRPr="00BD2F5E">
        <w:rPr>
          <w:rFonts w:ascii="Verdana" w:eastAsia="Times New Roman" w:hAnsi="Verdana" w:cs="Times New Roman"/>
          <w:noProof/>
        </w:rPr>
        <w:drawing>
          <wp:inline distT="0" distB="0" distL="0" distR="0" wp14:anchorId="09C009A9" wp14:editId="09FD1CC2">
            <wp:extent cx="5400040" cy="35261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3526155"/>
                    </a:xfrm>
                    <a:prstGeom prst="rect">
                      <a:avLst/>
                    </a:prstGeom>
                    <a:noFill/>
                    <a:ln>
                      <a:noFill/>
                    </a:ln>
                  </pic:spPr>
                </pic:pic>
              </a:graphicData>
            </a:graphic>
          </wp:inline>
        </w:drawing>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808080" w:themeFill="background1" w:themeFillShade="80"/>
        <w:tblLook w:val="04A0" w:firstRow="1" w:lastRow="0" w:firstColumn="1" w:lastColumn="0" w:noHBand="0" w:noVBand="1"/>
      </w:tblPr>
      <w:tblGrid>
        <w:gridCol w:w="8494"/>
      </w:tblGrid>
      <w:tr w:rsidR="00980452" w:rsidRPr="00980452" w14:paraId="082E59BB" w14:textId="77777777" w:rsidTr="004D3663">
        <w:trPr>
          <w:trHeight w:val="454"/>
        </w:trPr>
        <w:tc>
          <w:tcPr>
            <w:tcW w:w="8494" w:type="dxa"/>
            <w:shd w:val="clear" w:color="auto" w:fill="808080" w:themeFill="background1" w:themeFillShade="80"/>
          </w:tcPr>
          <w:p w14:paraId="6B286818" w14:textId="33ACA515" w:rsidR="00980452" w:rsidRPr="00980452" w:rsidRDefault="00980452" w:rsidP="00980452">
            <w:pPr>
              <w:spacing w:before="60" w:after="60"/>
              <w:rPr>
                <w:rFonts w:cs="Arial"/>
                <w:b/>
                <w:bCs/>
                <w:color w:val="FFFFFF" w:themeColor="background1"/>
                <w:sz w:val="17"/>
                <w:szCs w:val="17"/>
              </w:rPr>
            </w:pPr>
            <w:r w:rsidRPr="00980452">
              <w:rPr>
                <w:rFonts w:cs="Arial"/>
                <w:b/>
                <w:bCs/>
                <w:color w:val="FFFFFF" w:themeColor="background1"/>
                <w:sz w:val="17"/>
                <w:szCs w:val="17"/>
              </w:rPr>
              <w:t>Graph 1: Constitution of conferences 1 July 2021 to 30 June 2022</w:t>
            </w:r>
          </w:p>
        </w:tc>
      </w:tr>
    </w:tbl>
    <w:p w14:paraId="5F75669B" w14:textId="77777777" w:rsidR="00980452" w:rsidRDefault="00980452" w:rsidP="009D790C"/>
    <w:p w14:paraId="67F180AB" w14:textId="77777777" w:rsidR="009D790C" w:rsidRPr="005371FE" w:rsidRDefault="009D790C" w:rsidP="000845D0">
      <w:pPr>
        <w:pStyle w:val="Heading5"/>
      </w:pPr>
      <w:r w:rsidRPr="005371FE">
        <w:t>Quality assurance and oversight of decisions</w:t>
      </w:r>
    </w:p>
    <w:p w14:paraId="36E21FE0" w14:textId="77777777" w:rsidR="009D790C" w:rsidRPr="005371FE" w:rsidRDefault="009D790C" w:rsidP="009D790C">
      <w:r w:rsidRPr="005371FE">
        <w:t>All Commission decisions are made within a legal framework. There are mechanisms in place to ensure appropriateness and consistency of FRC decisions including:</w:t>
      </w:r>
    </w:p>
    <w:p w14:paraId="1BEDA29A" w14:textId="1469B0AD" w:rsidR="009D790C" w:rsidRPr="005371FE" w:rsidRDefault="009D790C" w:rsidP="009D790C">
      <w:pPr>
        <w:pStyle w:val="ListBullet2"/>
        <w:tabs>
          <w:tab w:val="clear" w:pos="643"/>
          <w:tab w:val="num" w:pos="709"/>
        </w:tabs>
        <w:ind w:left="709" w:hanging="283"/>
      </w:pPr>
      <w:r w:rsidRPr="005371FE">
        <w:t xml:space="preserve">the appointment of a legally trained and suitably qualified Commissioner, and </w:t>
      </w:r>
      <w:r w:rsidR="003B72E5">
        <w:t>D</w:t>
      </w:r>
      <w:r w:rsidRPr="005371FE">
        <w:t xml:space="preserve">eputy </w:t>
      </w:r>
      <w:r w:rsidR="003B72E5">
        <w:t xml:space="preserve">Commissioner </w:t>
      </w:r>
      <w:r w:rsidRPr="005371FE">
        <w:t>if appointed, with the statutory function to ensure the efficient discharge of Commission business including the holding of conferences and making decisions about agency notices under the FRC Act</w:t>
      </w:r>
    </w:p>
    <w:p w14:paraId="0683B9B4" w14:textId="77777777" w:rsidR="009D790C" w:rsidRPr="005371FE" w:rsidRDefault="009D790C" w:rsidP="009D790C">
      <w:pPr>
        <w:pStyle w:val="ListBullet2"/>
        <w:tabs>
          <w:tab w:val="clear" w:pos="643"/>
          <w:tab w:val="num" w:pos="709"/>
        </w:tabs>
        <w:ind w:left="709" w:hanging="283"/>
      </w:pPr>
      <w:r w:rsidRPr="005371FE">
        <w:t>monitoring of Commission decisions when made at conference by a panel comprised of three Local Commissioners sitting alone and</w:t>
      </w:r>
    </w:p>
    <w:p w14:paraId="0677D402" w14:textId="77777777" w:rsidR="009D790C" w:rsidRPr="005371FE" w:rsidRDefault="009D790C" w:rsidP="009D790C">
      <w:pPr>
        <w:pStyle w:val="ListBullet2"/>
        <w:tabs>
          <w:tab w:val="clear" w:pos="643"/>
          <w:tab w:val="num" w:pos="709"/>
        </w:tabs>
        <w:ind w:left="709" w:hanging="283"/>
      </w:pPr>
      <w:r w:rsidRPr="005371FE">
        <w:t>the delivery of regular and appropriate training to Local Commissioners and registry staff to perform their statutory duties and achieve the objects of the FRC Act.</w:t>
      </w:r>
    </w:p>
    <w:p w14:paraId="3E0D0B3F" w14:textId="77777777" w:rsidR="009D790C" w:rsidRPr="005371FE" w:rsidRDefault="009D790C" w:rsidP="009D790C">
      <w:r w:rsidRPr="005371FE">
        <w:t>The Commissioner is required under the FRC Act to monitor all decisions made at conference by a panel constituted entirely by three Local Commissioners to ensure consistency of decision-making. Commissioner Williams, with the assistance of Deputy Commissioner Curtin does so in several ways.</w:t>
      </w:r>
    </w:p>
    <w:p w14:paraId="15754469" w14:textId="77777777" w:rsidR="009D790C" w:rsidRPr="00D22543" w:rsidRDefault="009D790C" w:rsidP="009D790C">
      <w:r w:rsidRPr="00D22543">
        <w:t xml:space="preserve">Firstly, Local Commissioners can seek legal advice and guidance from the FRC Commissioner or Deputy Commissioner prior to determining a matter at conference. Throughout the 2021-22 financial year 864 conferences were presided over and constituted by three Local Commissioners sitting alone, and for 686 of these conferences, legal advice and guidance was </w:t>
      </w:r>
      <w:r w:rsidRPr="00D22543">
        <w:lastRenderedPageBreak/>
        <w:t>sought by Local Commissioners from either the FRC Commissioner or Deputy Commissioner (these are deemed ‘Commissioner assisted conferences’ for reporting purposes).</w:t>
      </w:r>
    </w:p>
    <w:p w14:paraId="4ECE1F6C" w14:textId="77777777" w:rsidR="009D790C" w:rsidRPr="005371FE" w:rsidRDefault="009D790C" w:rsidP="009D790C">
      <w:bookmarkStart w:id="1" w:name="_Hlk110522643"/>
      <w:r w:rsidRPr="00D22543">
        <w:t>Secondly, following all conferences, the FRC Commissioner conducts a review of every outcome. In this reporting period 95 percent of decisions were monitored by the Commissioner within 28 days of the date of conference.</w:t>
      </w:r>
    </w:p>
    <w:bookmarkEnd w:id="1"/>
    <w:p w14:paraId="549863AD" w14:textId="77777777" w:rsidR="009D790C" w:rsidRPr="005371FE" w:rsidRDefault="009D790C" w:rsidP="009D790C">
      <w:r w:rsidRPr="005371FE">
        <w:t>The FRC remains committed to building the capability of Local Commissioners, so they continue to make reasonable and proportionate decisions reflective of the evolving and often complex needs of community members, their families and broader community expectations and standards of behaviour. The FRC provides regular training and assistance to Local Commissioners to support their ongoing ability to perform their duties as statutory decision-makers.</w:t>
      </w:r>
    </w:p>
    <w:p w14:paraId="03639A5B" w14:textId="430FF6C5" w:rsidR="009D790C" w:rsidRPr="00D22543" w:rsidRDefault="009D790C" w:rsidP="009D790C">
      <w:r w:rsidRPr="00B82C6D">
        <w:t xml:space="preserve">During the reporting period Commissioner Williams and Deputy Commissioner Curtin delivered training to Local Commissioners in small groups within their respective communities on topics </w:t>
      </w:r>
      <w:r w:rsidRPr="00D22543">
        <w:t xml:space="preserve">relevant to their individual capabilities and requirements. Formal training was also delivered at the annual Local Commissioner Development Week in Cairns. Further details </w:t>
      </w:r>
      <w:r w:rsidR="00B82C6D" w:rsidRPr="00D22543">
        <w:t xml:space="preserve">regarding the training provided at the Local Commissioner Development Week </w:t>
      </w:r>
      <w:r w:rsidRPr="00D22543">
        <w:t>can be found on page</w:t>
      </w:r>
      <w:r w:rsidR="00C9064B" w:rsidRPr="00D22543">
        <w:t>s</w:t>
      </w:r>
      <w:r w:rsidRPr="00D22543">
        <w:t xml:space="preserve"> 6</w:t>
      </w:r>
      <w:r w:rsidR="00504322" w:rsidRPr="00D22543">
        <w:t>1</w:t>
      </w:r>
      <w:r w:rsidR="00C9064B" w:rsidRPr="00D22543">
        <w:t xml:space="preserve"> and 62</w:t>
      </w:r>
      <w:r w:rsidRPr="00D22543">
        <w:t>.</w:t>
      </w:r>
    </w:p>
    <w:p w14:paraId="592BC2C1" w14:textId="77777777" w:rsidR="008A14B7" w:rsidRPr="00D22543" w:rsidRDefault="008A14B7" w:rsidP="009D790C"/>
    <w:p w14:paraId="730F1071" w14:textId="306278D3" w:rsidR="009D790C" w:rsidRPr="00D22543" w:rsidRDefault="009D790C" w:rsidP="000845D0">
      <w:pPr>
        <w:pStyle w:val="Heading5"/>
      </w:pPr>
      <w:r w:rsidRPr="00D22543">
        <w:t>Conferences constituted as part of the COVID</w:t>
      </w:r>
      <w:r w:rsidR="0074533B" w:rsidRPr="00D22543">
        <w:t>-19</w:t>
      </w:r>
      <w:r w:rsidRPr="00D22543">
        <w:t xml:space="preserve"> </w:t>
      </w:r>
      <w:r w:rsidR="00743423" w:rsidRPr="00D22543">
        <w:t>e</w:t>
      </w:r>
      <w:r w:rsidRPr="00D22543">
        <w:t xml:space="preserve">mergency </w:t>
      </w:r>
      <w:r w:rsidR="00743423" w:rsidRPr="00D22543">
        <w:t>r</w:t>
      </w:r>
      <w:r w:rsidRPr="00D22543">
        <w:t>esponse</w:t>
      </w:r>
    </w:p>
    <w:p w14:paraId="23F6AA20" w14:textId="77777777" w:rsidR="009D790C" w:rsidRPr="00D22543" w:rsidRDefault="009D790C" w:rsidP="009D790C">
      <w:r w:rsidRPr="00D22543">
        <w:t xml:space="preserve">A total of 85 conferences were held pursuant to the </w:t>
      </w:r>
      <w:r w:rsidRPr="00D22543">
        <w:rPr>
          <w:i/>
          <w:iCs/>
        </w:rPr>
        <w:t>Family Responsibilities Commission (COVID-19 Emergency Response) Regulation 2020</w:t>
      </w:r>
      <w:r w:rsidRPr="00D22543">
        <w:t xml:space="preserve"> (FRC’s COVID-19 Regulation) from 1 July 2021 to 30 April 2022 when the regulation expired. These conferences permitted the panel deciding a conference or hearing to be constituted by either the FRC Commissioner or Deputy Commissioner, and one Local Commissioner. In these limited circumstances the FRC Act was still administered in such a way that the wellbeing and best interests of children were paramount and the interests, rights and wellbeing of other vulnerable people living in the community were safeguarded. It was considered in the best interest of vulnerable clients and children that these matters proceed pursuant to the FRC’s COVID-19 Regulation and not be adjourned.</w:t>
      </w:r>
    </w:p>
    <w:p w14:paraId="48E956D4" w14:textId="46F01D43" w:rsidR="009D790C" w:rsidRDefault="009D790C" w:rsidP="009D790C">
      <w:r w:rsidRPr="00D22543">
        <w:t>The FRC’s COVID-19 Regulation was particularly important</w:t>
      </w:r>
      <w:r w:rsidRPr="005371FE">
        <w:t xml:space="preserve"> to the Commission in light of the Mossman Gorge Local Commissioners being reduced to only two members from 1 July 2021. Should one Local Commissioner </w:t>
      </w:r>
      <w:r>
        <w:t xml:space="preserve">have </w:t>
      </w:r>
      <w:r w:rsidRPr="005371FE">
        <w:t>b</w:t>
      </w:r>
      <w:r>
        <w:t>e</w:t>
      </w:r>
      <w:r w:rsidRPr="005371FE">
        <w:t>e</w:t>
      </w:r>
      <w:r>
        <w:t>n</w:t>
      </w:r>
      <w:r w:rsidRPr="005371FE">
        <w:t xml:space="preserve"> unable to sit in conference, the conference </w:t>
      </w:r>
      <w:r>
        <w:t>could not</w:t>
      </w:r>
      <w:r w:rsidRPr="005371FE">
        <w:t xml:space="preserve"> </w:t>
      </w:r>
      <w:r>
        <w:t xml:space="preserve">have </w:t>
      </w:r>
      <w:r w:rsidRPr="005371FE">
        <w:t>b</w:t>
      </w:r>
      <w:r>
        <w:t>e</w:t>
      </w:r>
      <w:r w:rsidRPr="005371FE">
        <w:t>e</w:t>
      </w:r>
      <w:r>
        <w:t>n</w:t>
      </w:r>
      <w:r w:rsidRPr="005371FE">
        <w:t xml:space="preserve"> held without this regulation. For further detail regarding the appointment of Local Commissioners, refer to the </w:t>
      </w:r>
      <w:r>
        <w:t xml:space="preserve">Significant events and achievements </w:t>
      </w:r>
      <w:r w:rsidRPr="005371FE">
        <w:t>section of this report.</w:t>
      </w:r>
    </w:p>
    <w:p w14:paraId="3AB4EE9D" w14:textId="77777777" w:rsidR="009D790C" w:rsidRDefault="009D790C" w:rsidP="009D790C"/>
    <w:p w14:paraId="4A32D094" w14:textId="6D8D199F" w:rsidR="009D790C" w:rsidRPr="00324970" w:rsidRDefault="009D790C" w:rsidP="000845D0">
      <w:pPr>
        <w:pStyle w:val="Heading5"/>
      </w:pPr>
      <w:r w:rsidRPr="00060B95">
        <w:t xml:space="preserve">Conferences and the </w:t>
      </w:r>
      <w:r>
        <w:t>impact</w:t>
      </w:r>
      <w:r w:rsidRPr="00060B95">
        <w:t xml:space="preserve"> of COVID</w:t>
      </w:r>
      <w:r w:rsidR="0074533B">
        <w:t>-19</w:t>
      </w:r>
    </w:p>
    <w:p w14:paraId="1A78ABEA" w14:textId="1586E6E4" w:rsidR="009D790C" w:rsidRDefault="009D790C" w:rsidP="009D790C">
      <w:r w:rsidRPr="0011461B">
        <w:t xml:space="preserve">COVID-19 </w:t>
      </w:r>
      <w:r>
        <w:t>continue</w:t>
      </w:r>
      <w:r w:rsidR="003B72E5">
        <w:t>d</w:t>
      </w:r>
      <w:r>
        <w:t xml:space="preserve"> to present </w:t>
      </w:r>
      <w:r w:rsidRPr="0011461B">
        <w:t>a public health concern of national and international proportions. FRC communities are particularly vulnerable to this pandemic threat with limited healthcare facilities available, community members having to travel considerable distances to access mainstream healthcare, an Indigenous population wi</w:t>
      </w:r>
      <w:r w:rsidRPr="00DB7BFA">
        <w:t>th a high percentage of co-morbidities and other health vulnerabilities caused by long term economic disadvantage, and overcrowded housing.</w:t>
      </w:r>
    </w:p>
    <w:p w14:paraId="7C61E9F0" w14:textId="77777777" w:rsidR="00D41355" w:rsidRDefault="00D41355">
      <w:pPr>
        <w:spacing w:after="160" w:line="259" w:lineRule="auto"/>
      </w:pPr>
      <w:r>
        <w:br w:type="page"/>
      </w:r>
    </w:p>
    <w:p w14:paraId="06A01CF2" w14:textId="48C31B40" w:rsidR="009D790C" w:rsidRDefault="009D790C" w:rsidP="009D790C">
      <w:r>
        <w:lastRenderedPageBreak/>
        <w:t>With borders open, in January 2022 Queensland began experiencing the first wave of the Omicron variant. As a result, the FRC made the decision to suspend conferencing in each community until March 2022</w:t>
      </w:r>
      <w:r w:rsidR="00B82C6D">
        <w:t>.</w:t>
      </w:r>
      <w:r w:rsidR="00505AA7">
        <w:t xml:space="preserve"> </w:t>
      </w:r>
      <w:r>
        <w:t xml:space="preserve">Hope Vale conferencing was also significantly impacted by sorry business from May through to June 2022 </w:t>
      </w:r>
      <w:r w:rsidRPr="00D22543">
        <w:t xml:space="preserve">with a </w:t>
      </w:r>
      <w:r w:rsidR="00F37723" w:rsidRPr="00D22543">
        <w:t>49</w:t>
      </w:r>
      <w:r w:rsidR="0077571F" w:rsidRPr="00D22543">
        <w:t xml:space="preserve"> </w:t>
      </w:r>
      <w:r w:rsidRPr="00D22543">
        <w:t xml:space="preserve">percent reduction in the number </w:t>
      </w:r>
      <w:r w:rsidR="00594041" w:rsidRPr="00D22543">
        <w:t xml:space="preserve">of </w:t>
      </w:r>
      <w:r w:rsidRPr="00D22543">
        <w:t>conferences conducted in 2021-22 when compared to 2020-21.</w:t>
      </w:r>
    </w:p>
    <w:p w14:paraId="7FF92F9A" w14:textId="77777777" w:rsidR="00352CE7" w:rsidRDefault="00352CE7" w:rsidP="009D790C"/>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992"/>
        <w:gridCol w:w="993"/>
        <w:gridCol w:w="1275"/>
      </w:tblGrid>
      <w:tr w:rsidR="009D790C" w:rsidRPr="005371FE" w14:paraId="52B58048" w14:textId="77777777" w:rsidTr="00926567">
        <w:trPr>
          <w:trHeight w:val="300"/>
        </w:trPr>
        <w:tc>
          <w:tcPr>
            <w:tcW w:w="5245" w:type="dxa"/>
            <w:shd w:val="clear" w:color="auto" w:fill="808080" w:themeFill="background1" w:themeFillShade="80"/>
            <w:vAlign w:val="center"/>
          </w:tcPr>
          <w:p w14:paraId="47833094" w14:textId="77777777" w:rsidR="009D790C" w:rsidRPr="005371FE" w:rsidRDefault="009D790C" w:rsidP="00926567">
            <w:pPr>
              <w:spacing w:before="60" w:after="60"/>
              <w:rPr>
                <w:b/>
                <w:bCs/>
                <w:color w:val="FFFFFF" w:themeColor="background1"/>
              </w:rPr>
            </w:pPr>
            <w:r>
              <w:rPr>
                <w:b/>
                <w:bCs/>
                <w:color w:val="FFFFFF" w:themeColor="background1"/>
              </w:rPr>
              <w:t>FRC c</w:t>
            </w:r>
            <w:r w:rsidRPr="005371FE">
              <w:rPr>
                <w:b/>
                <w:bCs/>
                <w:color w:val="FFFFFF" w:themeColor="background1"/>
              </w:rPr>
              <w:t>onference</w:t>
            </w:r>
            <w:r>
              <w:rPr>
                <w:b/>
                <w:bCs/>
                <w:color w:val="FFFFFF" w:themeColor="background1"/>
              </w:rPr>
              <w:t>s conducted</w:t>
            </w:r>
          </w:p>
        </w:tc>
        <w:tc>
          <w:tcPr>
            <w:tcW w:w="992" w:type="dxa"/>
            <w:shd w:val="clear" w:color="auto" w:fill="808080" w:themeFill="background1" w:themeFillShade="80"/>
            <w:vAlign w:val="center"/>
          </w:tcPr>
          <w:p w14:paraId="0EEB6E3E" w14:textId="77777777" w:rsidR="009D790C" w:rsidRPr="005371FE" w:rsidRDefault="009D790C" w:rsidP="00926567">
            <w:pPr>
              <w:spacing w:before="60" w:after="60"/>
              <w:jc w:val="center"/>
              <w:rPr>
                <w:b/>
                <w:bCs/>
                <w:color w:val="FFFFFF" w:themeColor="background1"/>
              </w:rPr>
            </w:pPr>
            <w:r w:rsidRPr="005371FE">
              <w:rPr>
                <w:b/>
                <w:bCs/>
                <w:color w:val="FFFFFF" w:themeColor="background1"/>
              </w:rPr>
              <w:t>2020-21</w:t>
            </w:r>
          </w:p>
        </w:tc>
        <w:tc>
          <w:tcPr>
            <w:tcW w:w="993" w:type="dxa"/>
            <w:shd w:val="clear" w:color="auto" w:fill="808080" w:themeFill="background1" w:themeFillShade="80"/>
            <w:vAlign w:val="center"/>
          </w:tcPr>
          <w:p w14:paraId="78F0F725" w14:textId="77777777" w:rsidR="009D790C" w:rsidRPr="005371FE" w:rsidRDefault="009D790C" w:rsidP="00926567">
            <w:pPr>
              <w:spacing w:before="60" w:after="60"/>
              <w:jc w:val="center"/>
              <w:rPr>
                <w:b/>
                <w:bCs/>
                <w:color w:val="FFFFFF" w:themeColor="background1"/>
              </w:rPr>
            </w:pPr>
            <w:r w:rsidRPr="005371FE">
              <w:rPr>
                <w:b/>
                <w:bCs/>
                <w:color w:val="FFFFFF" w:themeColor="background1"/>
              </w:rPr>
              <w:t>202</w:t>
            </w:r>
            <w:r>
              <w:rPr>
                <w:b/>
                <w:bCs/>
                <w:color w:val="FFFFFF" w:themeColor="background1"/>
              </w:rPr>
              <w:t>1</w:t>
            </w:r>
            <w:r w:rsidRPr="005371FE">
              <w:rPr>
                <w:b/>
                <w:bCs/>
                <w:color w:val="FFFFFF" w:themeColor="background1"/>
              </w:rPr>
              <w:t>-2</w:t>
            </w:r>
            <w:r>
              <w:rPr>
                <w:b/>
                <w:bCs/>
                <w:color w:val="FFFFFF" w:themeColor="background1"/>
              </w:rPr>
              <w:t>2</w:t>
            </w:r>
          </w:p>
        </w:tc>
        <w:tc>
          <w:tcPr>
            <w:tcW w:w="1275" w:type="dxa"/>
            <w:shd w:val="clear" w:color="auto" w:fill="808080" w:themeFill="background1" w:themeFillShade="80"/>
            <w:vAlign w:val="center"/>
          </w:tcPr>
          <w:p w14:paraId="4F46303D" w14:textId="77777777" w:rsidR="009D790C" w:rsidRPr="005371FE" w:rsidRDefault="009D790C" w:rsidP="00926567">
            <w:pPr>
              <w:spacing w:before="60" w:after="60"/>
              <w:jc w:val="center"/>
              <w:rPr>
                <w:b/>
                <w:bCs/>
                <w:color w:val="FFFFFF" w:themeColor="background1"/>
              </w:rPr>
            </w:pPr>
            <w:r w:rsidRPr="005371FE">
              <w:rPr>
                <w:b/>
                <w:bCs/>
                <w:color w:val="FFFFFF" w:themeColor="background1"/>
              </w:rPr>
              <w:t>% change</w:t>
            </w:r>
          </w:p>
        </w:tc>
      </w:tr>
      <w:tr w:rsidR="009D790C" w:rsidRPr="005371FE" w14:paraId="7192902D" w14:textId="77777777" w:rsidTr="00926567">
        <w:trPr>
          <w:trHeight w:val="300"/>
        </w:trPr>
        <w:tc>
          <w:tcPr>
            <w:tcW w:w="5245" w:type="dxa"/>
            <w:shd w:val="clear" w:color="auto" w:fill="auto"/>
            <w:vAlign w:val="center"/>
            <w:hideMark/>
          </w:tcPr>
          <w:p w14:paraId="1807281E" w14:textId="77777777" w:rsidR="009D790C" w:rsidRPr="00D22543" w:rsidRDefault="009D790C" w:rsidP="00926567">
            <w:pPr>
              <w:spacing w:before="60" w:after="60"/>
            </w:pPr>
            <w:r w:rsidRPr="00D22543">
              <w:t>Number of FRC conferences conducted</w:t>
            </w:r>
          </w:p>
        </w:tc>
        <w:tc>
          <w:tcPr>
            <w:tcW w:w="992" w:type="dxa"/>
            <w:shd w:val="clear" w:color="auto" w:fill="auto"/>
            <w:vAlign w:val="center"/>
          </w:tcPr>
          <w:p w14:paraId="659AD832" w14:textId="3B73CAF7" w:rsidR="009D790C" w:rsidRPr="00D22543" w:rsidRDefault="009D790C" w:rsidP="00926567">
            <w:pPr>
              <w:spacing w:before="60" w:after="60"/>
              <w:jc w:val="right"/>
            </w:pPr>
            <w:r w:rsidRPr="00D22543">
              <w:t>1</w:t>
            </w:r>
            <w:r w:rsidR="00C9064B" w:rsidRPr="00D22543">
              <w:t>,</w:t>
            </w:r>
            <w:r w:rsidRPr="00D22543">
              <w:t>491</w:t>
            </w:r>
          </w:p>
        </w:tc>
        <w:tc>
          <w:tcPr>
            <w:tcW w:w="993" w:type="dxa"/>
            <w:shd w:val="clear" w:color="auto" w:fill="auto"/>
            <w:vAlign w:val="center"/>
          </w:tcPr>
          <w:p w14:paraId="0064D314" w14:textId="643E3FF1" w:rsidR="009D790C" w:rsidRPr="00D22543" w:rsidRDefault="009D790C" w:rsidP="00926567">
            <w:pPr>
              <w:spacing w:before="60" w:after="60"/>
              <w:jc w:val="right"/>
            </w:pPr>
            <w:r w:rsidRPr="00D22543">
              <w:t>1</w:t>
            </w:r>
            <w:r w:rsidR="00C9064B" w:rsidRPr="00D22543">
              <w:t>,</w:t>
            </w:r>
            <w:r w:rsidRPr="00D22543">
              <w:t>078</w:t>
            </w:r>
          </w:p>
        </w:tc>
        <w:tc>
          <w:tcPr>
            <w:tcW w:w="1275" w:type="dxa"/>
            <w:vAlign w:val="center"/>
          </w:tcPr>
          <w:p w14:paraId="370262BC" w14:textId="77777777" w:rsidR="009D790C" w:rsidRPr="00D22543" w:rsidRDefault="009D790C" w:rsidP="00926567">
            <w:pPr>
              <w:spacing w:before="60" w:after="60"/>
              <w:jc w:val="right"/>
            </w:pPr>
            <w:r w:rsidRPr="00D22543">
              <w:t>-28%</w:t>
            </w:r>
          </w:p>
        </w:tc>
      </w:tr>
    </w:tbl>
    <w:p w14:paraId="547EDA23" w14:textId="77777777" w:rsidR="00352CE7" w:rsidRDefault="00352CE7" w:rsidP="009D790C"/>
    <w:p w14:paraId="69722F55" w14:textId="15A4207B" w:rsidR="00641FA6" w:rsidRDefault="00F55348" w:rsidP="009D790C">
      <w:r w:rsidRPr="00B82C6D">
        <w:t xml:space="preserve">Notwithstanding the onset of the </w:t>
      </w:r>
      <w:r w:rsidR="003C75DF" w:rsidRPr="00B82C6D">
        <w:t>Omicron</w:t>
      </w:r>
      <w:r w:rsidRPr="00B82C6D">
        <w:t xml:space="preserve"> variant, </w:t>
      </w:r>
      <w:r w:rsidR="00AB2DE8">
        <w:t>t</w:t>
      </w:r>
      <w:r w:rsidR="009D790C" w:rsidRPr="00A967DA">
        <w:t>he FRC</w:t>
      </w:r>
      <w:r w:rsidR="00D83129" w:rsidRPr="00A967DA">
        <w:t xml:space="preserve"> </w:t>
      </w:r>
      <w:r w:rsidR="00636DBE" w:rsidRPr="00A967DA">
        <w:t xml:space="preserve">innovated its operations to ensure </w:t>
      </w:r>
      <w:r w:rsidR="004F4737" w:rsidRPr="00A967DA">
        <w:t xml:space="preserve">it could still </w:t>
      </w:r>
      <w:r w:rsidR="00E15CCF" w:rsidRPr="00B82C6D">
        <w:t>achieve its statutory objects in a</w:t>
      </w:r>
      <w:r w:rsidR="004F4737" w:rsidRPr="00A967DA">
        <w:t xml:space="preserve"> </w:t>
      </w:r>
      <w:r w:rsidR="002866D0" w:rsidRPr="00B82C6D">
        <w:t>COVID</w:t>
      </w:r>
      <w:r w:rsidR="0074533B">
        <w:t>-19</w:t>
      </w:r>
      <w:r w:rsidR="002866D0" w:rsidRPr="00B82C6D">
        <w:t xml:space="preserve"> safe manner.</w:t>
      </w:r>
      <w:r w:rsidR="00074CF4" w:rsidRPr="00B82C6D">
        <w:t xml:space="preserve"> In the absence of conferencing throughout much of the third quarter</w:t>
      </w:r>
      <w:r w:rsidR="00F0040E" w:rsidRPr="00B82C6D">
        <w:t xml:space="preserve"> of the reporting period</w:t>
      </w:r>
      <w:r w:rsidR="00B82C6D">
        <w:t>,</w:t>
      </w:r>
      <w:r w:rsidR="00F0040E" w:rsidRPr="00B82C6D">
        <w:t xml:space="preserve"> </w:t>
      </w:r>
      <w:r w:rsidR="00735FBE" w:rsidRPr="00B82C6D">
        <w:t>i.e.</w:t>
      </w:r>
      <w:r w:rsidR="00F0040E" w:rsidRPr="00B82C6D">
        <w:t xml:space="preserve"> January to March 2022, the FRC</w:t>
      </w:r>
      <w:r w:rsidR="003C75DF" w:rsidRPr="00B82C6D">
        <w:t xml:space="preserve"> </w:t>
      </w:r>
      <w:r w:rsidR="009D790C" w:rsidRPr="00A967DA">
        <w:t>commenced the ICM framework to ensure that targeted vulnerable clients requiring immediate supportive intervention were identified and engaged on a voluntary basis.</w:t>
      </w:r>
    </w:p>
    <w:p w14:paraId="325243F9" w14:textId="77777777" w:rsidR="009D790C" w:rsidRDefault="009D790C" w:rsidP="009D790C"/>
    <w:p w14:paraId="19067F80" w14:textId="77777777" w:rsidR="009D790C" w:rsidRPr="005371FE" w:rsidRDefault="009D790C" w:rsidP="000845D0">
      <w:pPr>
        <w:pStyle w:val="Heading5"/>
      </w:pPr>
      <w:r w:rsidRPr="005371FE">
        <w:t>Application hearings held to consider changing needs of community members</w:t>
      </w:r>
    </w:p>
    <w:p w14:paraId="29561563" w14:textId="4F9F7365" w:rsidR="009D790C" w:rsidRDefault="009D790C" w:rsidP="009D790C">
      <w:pPr>
        <w:rPr>
          <w:szCs w:val="20"/>
        </w:rPr>
      </w:pPr>
      <w:r w:rsidRPr="005371FE">
        <w:t>Each application follows a transparent process and is considered by the Commissioners on its own merit whilst observing the principles of natural justice. A timely decision on the application is made</w:t>
      </w:r>
      <w:r>
        <w:t xml:space="preserve"> under the FRC Act</w:t>
      </w:r>
      <w:r w:rsidRPr="005371FE">
        <w:t xml:space="preserve"> pursuant to section 99 </w:t>
      </w:r>
      <w:r>
        <w:t xml:space="preserve">for a family responsibilities agreement (FRA) or order </w:t>
      </w:r>
      <w:r w:rsidRPr="005371FE">
        <w:t xml:space="preserve">or section 109 </w:t>
      </w:r>
      <w:r>
        <w:t>for a voluntary agreement</w:t>
      </w:r>
      <w:r w:rsidR="003B72E5">
        <w:t>,</w:t>
      </w:r>
      <w:r>
        <w:t xml:space="preserve"> </w:t>
      </w:r>
      <w:r w:rsidRPr="005371FE">
        <w:t>and may include either agreeing or refusing to amend or end an agreement or order, or if the Commissioners deem the application</w:t>
      </w:r>
      <w:r w:rsidR="003E3B80">
        <w:t xml:space="preserve"> for a FRA or order</w:t>
      </w:r>
      <w:r w:rsidRPr="005371FE">
        <w:t xml:space="preserve"> frivolous or vexatious, dismissing the application. </w:t>
      </w:r>
      <w:r w:rsidR="003D5065">
        <w:t xml:space="preserve">For an application received under section 97 of the FRC Act </w:t>
      </w:r>
      <w:r w:rsidR="003D5065">
        <w:rPr>
          <w:szCs w:val="20"/>
        </w:rPr>
        <w:t>i</w:t>
      </w:r>
      <w:r>
        <w:rPr>
          <w:szCs w:val="20"/>
        </w:rPr>
        <w:t xml:space="preserve">f the Commission fails to make a decision within two months of receipt of the application, section 101 of the FRC Act determines that the failure is taken to be a decision by the Commission to refuse to amend or end the </w:t>
      </w:r>
      <w:r w:rsidR="003E3B80">
        <w:rPr>
          <w:szCs w:val="20"/>
        </w:rPr>
        <w:t>FRA</w:t>
      </w:r>
      <w:r>
        <w:rPr>
          <w:szCs w:val="20"/>
        </w:rPr>
        <w:t xml:space="preserve"> or order. </w:t>
      </w:r>
      <w:r>
        <w:t xml:space="preserve">For an application to amend or end a voluntary agreement </w:t>
      </w:r>
      <w:r>
        <w:rPr>
          <w:szCs w:val="20"/>
        </w:rPr>
        <w:t>section 109(2) of the FRC Act states: “The Commissioner must amend or end a voluntary agreement as requested by the person, unless the Commissioner is satisfied the amendment or ending would be detrimental to the interests, rights and wellbeing of children and other vulnerable persons living in a welfare reform community area”.</w:t>
      </w:r>
    </w:p>
    <w:p w14:paraId="331AC721" w14:textId="77777777" w:rsidR="004C60AD" w:rsidRDefault="004C60AD" w:rsidP="009D790C"/>
    <w:p w14:paraId="14C06C60" w14:textId="255603DF" w:rsidR="004C60AD" w:rsidRPr="004C60AD" w:rsidRDefault="00A92006" w:rsidP="00F50538">
      <w:pPr>
        <w:pStyle w:val="Heading6"/>
      </w:pPr>
      <w:r w:rsidRPr="00324970">
        <w:t>Timeframe on deciding applications received in 2021-22</w:t>
      </w:r>
    </w:p>
    <w:tbl>
      <w:tblPr>
        <w:tblStyle w:val="TableGrid"/>
        <w:tblW w:w="0" w:type="auto"/>
        <w:tblLook w:val="04A0" w:firstRow="1" w:lastRow="0" w:firstColumn="1" w:lastColumn="0" w:noHBand="0" w:noVBand="1"/>
      </w:tblPr>
      <w:tblGrid>
        <w:gridCol w:w="4247"/>
        <w:gridCol w:w="4247"/>
      </w:tblGrid>
      <w:tr w:rsidR="00A92006" w14:paraId="1AC38DDA" w14:textId="77777777" w:rsidTr="00033852">
        <w:tc>
          <w:tcPr>
            <w:tcW w:w="4247" w:type="dxa"/>
            <w:shd w:val="clear" w:color="auto" w:fill="808080" w:themeFill="background1" w:themeFillShade="80"/>
          </w:tcPr>
          <w:p w14:paraId="03FACC66" w14:textId="77777777" w:rsidR="00A92006" w:rsidRPr="00A92006" w:rsidRDefault="00A92006" w:rsidP="00033852">
            <w:pPr>
              <w:jc w:val="center"/>
              <w:rPr>
                <w:b/>
                <w:bCs/>
                <w:color w:val="FFFFFF" w:themeColor="background1"/>
              </w:rPr>
            </w:pPr>
            <w:r w:rsidRPr="00A92006">
              <w:rPr>
                <w:b/>
                <w:bCs/>
                <w:color w:val="FFFFFF" w:themeColor="background1"/>
              </w:rPr>
              <w:t>Number of applications received and decided in 2021-22</w:t>
            </w:r>
          </w:p>
        </w:tc>
        <w:tc>
          <w:tcPr>
            <w:tcW w:w="4247" w:type="dxa"/>
            <w:shd w:val="clear" w:color="auto" w:fill="808080" w:themeFill="background1" w:themeFillShade="80"/>
          </w:tcPr>
          <w:p w14:paraId="47802977" w14:textId="77777777" w:rsidR="00A92006" w:rsidRPr="00A92006" w:rsidRDefault="00A92006" w:rsidP="00033852">
            <w:pPr>
              <w:jc w:val="center"/>
              <w:rPr>
                <w:b/>
                <w:bCs/>
                <w:color w:val="FFFFFF" w:themeColor="background1"/>
              </w:rPr>
            </w:pPr>
            <w:r w:rsidRPr="00A92006">
              <w:rPr>
                <w:b/>
                <w:bCs/>
                <w:color w:val="FFFFFF" w:themeColor="background1"/>
              </w:rPr>
              <w:t>Average number of days to make a decision in 2021-22</w:t>
            </w:r>
          </w:p>
        </w:tc>
      </w:tr>
      <w:tr w:rsidR="00A92006" w14:paraId="78C52F1E" w14:textId="77777777" w:rsidTr="00033852">
        <w:tc>
          <w:tcPr>
            <w:tcW w:w="4247" w:type="dxa"/>
          </w:tcPr>
          <w:p w14:paraId="5B25B2F2" w14:textId="77777777" w:rsidR="00A92006" w:rsidRPr="00A92006" w:rsidRDefault="00A92006" w:rsidP="00033852">
            <w:pPr>
              <w:jc w:val="center"/>
              <w:rPr>
                <w:highlight w:val="green"/>
              </w:rPr>
            </w:pPr>
            <w:r w:rsidRPr="008E6D22">
              <w:t>53 applications to amend or end a VIM</w:t>
            </w:r>
          </w:p>
        </w:tc>
        <w:tc>
          <w:tcPr>
            <w:tcW w:w="4247" w:type="dxa"/>
          </w:tcPr>
          <w:p w14:paraId="504EC415" w14:textId="77777777" w:rsidR="00A92006" w:rsidRPr="00A92006" w:rsidRDefault="00A92006" w:rsidP="00033852">
            <w:pPr>
              <w:jc w:val="center"/>
              <w:rPr>
                <w:highlight w:val="green"/>
              </w:rPr>
            </w:pPr>
            <w:r w:rsidRPr="008E6D22">
              <w:t>2.45 days</w:t>
            </w:r>
          </w:p>
        </w:tc>
      </w:tr>
      <w:tr w:rsidR="00A92006" w14:paraId="0EDAD130" w14:textId="77777777" w:rsidTr="00033852">
        <w:tc>
          <w:tcPr>
            <w:tcW w:w="4247" w:type="dxa"/>
          </w:tcPr>
          <w:p w14:paraId="3FAD9BC4" w14:textId="77777777" w:rsidR="00A92006" w:rsidRPr="00A92006" w:rsidRDefault="00A92006" w:rsidP="00033852">
            <w:pPr>
              <w:jc w:val="center"/>
              <w:rPr>
                <w:highlight w:val="green"/>
              </w:rPr>
            </w:pPr>
            <w:r w:rsidRPr="008E6D22">
              <w:t>17</w:t>
            </w:r>
            <w:r w:rsidRPr="008E6D22">
              <w:rPr>
                <w:rStyle w:val="FootnoteReference"/>
              </w:rPr>
              <w:footnoteReference w:id="3"/>
            </w:r>
            <w:r w:rsidRPr="008E6D22">
              <w:rPr>
                <w:vertAlign w:val="superscript"/>
              </w:rPr>
              <w:t>,</w:t>
            </w:r>
            <w:r w:rsidRPr="008E6D22">
              <w:rPr>
                <w:rStyle w:val="FootnoteReference"/>
              </w:rPr>
              <w:footnoteReference w:id="4"/>
            </w:r>
            <w:r w:rsidRPr="008E6D22">
              <w:t xml:space="preserve"> applications to amend or end a CIM and/or conditional case plan</w:t>
            </w:r>
          </w:p>
        </w:tc>
        <w:tc>
          <w:tcPr>
            <w:tcW w:w="4247" w:type="dxa"/>
          </w:tcPr>
          <w:p w14:paraId="023D9070" w14:textId="77777777" w:rsidR="00A92006" w:rsidRPr="00A92006" w:rsidRDefault="00A92006" w:rsidP="00033852">
            <w:pPr>
              <w:jc w:val="center"/>
              <w:rPr>
                <w:highlight w:val="green"/>
              </w:rPr>
            </w:pPr>
            <w:r w:rsidRPr="008E6D22">
              <w:t>11.45 days</w:t>
            </w:r>
          </w:p>
        </w:tc>
      </w:tr>
    </w:tbl>
    <w:p w14:paraId="02B2F42C" w14:textId="77777777" w:rsidR="004C60AD" w:rsidRPr="005371FE" w:rsidRDefault="004C60AD" w:rsidP="004C60AD">
      <w:r w:rsidRPr="005371FE">
        <w:lastRenderedPageBreak/>
        <w:t>The opportunity afforded in hearing these applications is utilised by the Commissioners to encourage clients to continue to address any remaining challenges and to exercise personal responsibility in their lives.</w:t>
      </w:r>
    </w:p>
    <w:p w14:paraId="6CC2A7F9" w14:textId="77777777" w:rsidR="004C60AD" w:rsidRDefault="004C60AD" w:rsidP="009D790C">
      <w:pPr>
        <w:rPr>
          <w:b/>
          <w:bCs/>
        </w:rPr>
      </w:pPr>
    </w:p>
    <w:p w14:paraId="7D1540E3" w14:textId="63525BA4" w:rsidR="009D790C" w:rsidRPr="00324970" w:rsidRDefault="009D790C" w:rsidP="00CD347F">
      <w:pPr>
        <w:pStyle w:val="Heading5"/>
      </w:pPr>
      <w:r w:rsidRPr="00324970">
        <w:t>Decisions on amend</w:t>
      </w:r>
      <w:r w:rsidR="000C33AB">
        <w:t>/</w:t>
      </w:r>
      <w:r w:rsidRPr="00324970">
        <w:t xml:space="preserve">end applications for </w:t>
      </w:r>
      <w:r w:rsidR="009A30CD">
        <w:t>FRAs</w:t>
      </w:r>
      <w:r w:rsidRPr="00324970">
        <w:t xml:space="preserve"> or orders</w:t>
      </w:r>
    </w:p>
    <w:p w14:paraId="3367329C" w14:textId="75035B49" w:rsidR="009D790C" w:rsidRPr="005371FE" w:rsidRDefault="009D790C" w:rsidP="009D790C">
      <w:r w:rsidRPr="005371FE">
        <w:t xml:space="preserve">Following the decision of the Commission at conference relating to an agency notice, a community member who is the subject of that decision can make an application to the FRC seeking to alter or end </w:t>
      </w:r>
      <w:r w:rsidRPr="008E6D22">
        <w:t>the original decision because their circumstances or behaviours have changed. During this reporting period 19 amend</w:t>
      </w:r>
      <w:r w:rsidR="00403E60" w:rsidRPr="008E6D22">
        <w:t>/</w:t>
      </w:r>
      <w:r w:rsidRPr="008E6D22">
        <w:t xml:space="preserve">end applications were decided for </w:t>
      </w:r>
      <w:r w:rsidR="003E3B80" w:rsidRPr="008E6D22">
        <w:t>FRAs</w:t>
      </w:r>
      <w:r w:rsidRPr="008E6D22">
        <w:t xml:space="preserve"> or orders, </w:t>
      </w:r>
      <w:bookmarkStart w:id="2" w:name="_Hlk111040432"/>
      <w:r w:rsidRPr="008E6D22">
        <w:t>noting there was one application received at the end of 2020-21 which was heard in 2021-22 along with the 18 applications received in 2021-22.</w:t>
      </w:r>
      <w:bookmarkEnd w:id="2"/>
    </w:p>
    <w:p w14:paraId="190D651D" w14:textId="77777777" w:rsidR="009D790C" w:rsidRDefault="009D790C" w:rsidP="009D790C"/>
    <w:p w14:paraId="31ECC63A" w14:textId="2D46BA3D" w:rsidR="009D790C" w:rsidRPr="0005479E" w:rsidRDefault="009D790C" w:rsidP="00CD347F">
      <w:pPr>
        <w:pStyle w:val="Heading5"/>
      </w:pPr>
      <w:r w:rsidRPr="00324970">
        <w:t>Decisions on amend</w:t>
      </w:r>
      <w:r w:rsidR="000C33AB">
        <w:t>/</w:t>
      </w:r>
      <w:r w:rsidRPr="00324970">
        <w:t>end applications for voluntary agreements</w:t>
      </w:r>
    </w:p>
    <w:p w14:paraId="637D7DDA" w14:textId="43178DF6" w:rsidR="009D790C" w:rsidRDefault="009D790C" w:rsidP="009D790C">
      <w:r>
        <w:t xml:space="preserve">A person who has entered into a voluntary agreement about income management with the Commissioner can ask the Commissioner at any time to amend or end the agreement. </w:t>
      </w:r>
      <w:r w:rsidRPr="005371FE">
        <w:t xml:space="preserve">During this </w:t>
      </w:r>
      <w:r w:rsidRPr="008E6D22">
        <w:t>reporting period 53 amend</w:t>
      </w:r>
      <w:r w:rsidR="00403E60" w:rsidRPr="008E6D22">
        <w:t>/</w:t>
      </w:r>
      <w:r w:rsidRPr="005371FE">
        <w:t xml:space="preserve">end applications were </w:t>
      </w:r>
      <w:r>
        <w:t xml:space="preserve">decided for </w:t>
      </w:r>
      <w:r w:rsidR="00E76432">
        <w:t>VIM</w:t>
      </w:r>
      <w:r>
        <w:t xml:space="preserve"> agreements.</w:t>
      </w:r>
    </w:p>
    <w:p w14:paraId="60520BC7" w14:textId="13B41581" w:rsidR="009D790C" w:rsidRDefault="009D790C" w:rsidP="009D790C"/>
    <w:p w14:paraId="4E173D2C" w14:textId="77777777" w:rsidR="000D198C" w:rsidRPr="005371FE" w:rsidRDefault="000D198C" w:rsidP="000D198C">
      <w:pPr>
        <w:pStyle w:val="Heading3"/>
      </w:pPr>
      <w:r w:rsidRPr="005371FE">
        <w:t>Timely decision-making with increased client participation</w:t>
      </w:r>
    </w:p>
    <w:p w14:paraId="6E0700CE" w14:textId="7E9ABAA2" w:rsidR="009D790C" w:rsidRPr="005371FE" w:rsidRDefault="00403D7B" w:rsidP="00BC06E3">
      <w:pPr>
        <w:jc w:val="both"/>
      </w:pPr>
      <w:r>
        <w:t>During t</w:t>
      </w:r>
      <w:r w:rsidRPr="00842C9F">
        <w:t xml:space="preserve">he </w:t>
      </w:r>
      <w:r>
        <w:t xml:space="preserve">prior 2020-21 financial year the Commission </w:t>
      </w:r>
      <w:r w:rsidRPr="00842C9F">
        <w:t>focused on timely decision-making and on encouraging agreements to be made in the first instance (pursuant to sections 46 and 68 of the FRC Act). This method of decision-making has been successful and continued throughout this financial year.</w:t>
      </w:r>
      <w:r>
        <w:t xml:space="preserve"> </w:t>
      </w:r>
      <w:r w:rsidR="009D790C">
        <w:t>This year the Commission focused on developing Local Commissioner skills to support the holistic approach of encouraging client participation in the decision-making process. The cultivation of buy-in in the decision-making process cannot be over-estimated as it facilitates better outcomes through personal commitment and a shared consideration of a balance of options available to clients.</w:t>
      </w:r>
    </w:p>
    <w:p w14:paraId="1DB6D8F9" w14:textId="77777777" w:rsidR="009D790C" w:rsidRDefault="009D790C" w:rsidP="009D790C">
      <w:pPr>
        <w:rPr>
          <w:highlight w:val="darkYellow"/>
        </w:rPr>
      </w:pPr>
      <w:bookmarkStart w:id="3" w:name="_Hlk110591147"/>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992"/>
        <w:gridCol w:w="992"/>
        <w:gridCol w:w="992"/>
      </w:tblGrid>
      <w:tr w:rsidR="009D790C" w:rsidRPr="005371FE" w14:paraId="73264C93" w14:textId="77777777" w:rsidTr="00926567">
        <w:trPr>
          <w:trHeight w:val="300"/>
        </w:trPr>
        <w:tc>
          <w:tcPr>
            <w:tcW w:w="5529" w:type="dxa"/>
            <w:shd w:val="clear" w:color="auto" w:fill="808080" w:themeFill="background1" w:themeFillShade="80"/>
            <w:vAlign w:val="center"/>
          </w:tcPr>
          <w:p w14:paraId="0AAE7EEF" w14:textId="77777777" w:rsidR="009D790C" w:rsidRPr="005371FE" w:rsidRDefault="009D790C" w:rsidP="00926567">
            <w:pPr>
              <w:spacing w:before="60" w:after="60"/>
              <w:rPr>
                <w:b/>
                <w:bCs/>
                <w:color w:val="FFFFFF" w:themeColor="background1"/>
              </w:rPr>
            </w:pPr>
            <w:r>
              <w:rPr>
                <w:b/>
                <w:bCs/>
                <w:color w:val="FFFFFF" w:themeColor="background1"/>
              </w:rPr>
              <w:t>Conference attendance</w:t>
            </w:r>
          </w:p>
        </w:tc>
        <w:tc>
          <w:tcPr>
            <w:tcW w:w="992" w:type="dxa"/>
            <w:shd w:val="clear" w:color="auto" w:fill="808080" w:themeFill="background1" w:themeFillShade="80"/>
          </w:tcPr>
          <w:p w14:paraId="63484C52" w14:textId="77777777" w:rsidR="009D790C" w:rsidRPr="005371FE" w:rsidRDefault="009D790C" w:rsidP="00926567">
            <w:pPr>
              <w:spacing w:before="60" w:after="60"/>
              <w:jc w:val="center"/>
              <w:rPr>
                <w:b/>
                <w:bCs/>
                <w:color w:val="FFFFFF" w:themeColor="background1"/>
              </w:rPr>
            </w:pPr>
            <w:r w:rsidRPr="005371FE">
              <w:rPr>
                <w:b/>
                <w:bCs/>
                <w:color w:val="FFFFFF" w:themeColor="background1"/>
              </w:rPr>
              <w:t>2019-20</w:t>
            </w:r>
          </w:p>
        </w:tc>
        <w:tc>
          <w:tcPr>
            <w:tcW w:w="992" w:type="dxa"/>
            <w:shd w:val="clear" w:color="auto" w:fill="808080" w:themeFill="background1" w:themeFillShade="80"/>
            <w:vAlign w:val="center"/>
          </w:tcPr>
          <w:p w14:paraId="67A4DA27" w14:textId="77777777" w:rsidR="009D790C" w:rsidRPr="005371FE" w:rsidRDefault="009D790C" w:rsidP="00926567">
            <w:pPr>
              <w:spacing w:before="60" w:after="60"/>
              <w:jc w:val="center"/>
              <w:rPr>
                <w:b/>
                <w:bCs/>
                <w:color w:val="FFFFFF" w:themeColor="background1"/>
              </w:rPr>
            </w:pPr>
            <w:r w:rsidRPr="005371FE">
              <w:rPr>
                <w:b/>
                <w:bCs/>
                <w:color w:val="FFFFFF" w:themeColor="background1"/>
              </w:rPr>
              <w:t>2020-21</w:t>
            </w:r>
          </w:p>
        </w:tc>
        <w:tc>
          <w:tcPr>
            <w:tcW w:w="992" w:type="dxa"/>
            <w:shd w:val="clear" w:color="auto" w:fill="808080" w:themeFill="background1" w:themeFillShade="80"/>
            <w:vAlign w:val="center"/>
          </w:tcPr>
          <w:p w14:paraId="3A51E761" w14:textId="77777777" w:rsidR="009D790C" w:rsidRPr="005371FE" w:rsidRDefault="009D790C" w:rsidP="00926567">
            <w:pPr>
              <w:spacing w:before="60" w:after="60"/>
              <w:jc w:val="center"/>
              <w:rPr>
                <w:b/>
                <w:bCs/>
                <w:color w:val="FFFFFF" w:themeColor="background1"/>
              </w:rPr>
            </w:pPr>
            <w:r w:rsidRPr="005371FE">
              <w:rPr>
                <w:b/>
                <w:bCs/>
                <w:color w:val="FFFFFF" w:themeColor="background1"/>
              </w:rPr>
              <w:t>202</w:t>
            </w:r>
            <w:r>
              <w:rPr>
                <w:b/>
                <w:bCs/>
                <w:color w:val="FFFFFF" w:themeColor="background1"/>
              </w:rPr>
              <w:t>1</w:t>
            </w:r>
            <w:r w:rsidRPr="005371FE">
              <w:rPr>
                <w:b/>
                <w:bCs/>
                <w:color w:val="FFFFFF" w:themeColor="background1"/>
              </w:rPr>
              <w:t>-2</w:t>
            </w:r>
            <w:r>
              <w:rPr>
                <w:b/>
                <w:bCs/>
                <w:color w:val="FFFFFF" w:themeColor="background1"/>
              </w:rPr>
              <w:t>2</w:t>
            </w:r>
          </w:p>
        </w:tc>
      </w:tr>
      <w:tr w:rsidR="009D790C" w:rsidRPr="005371FE" w14:paraId="1D5C53CD" w14:textId="77777777" w:rsidTr="00926567">
        <w:trPr>
          <w:trHeight w:val="300"/>
        </w:trPr>
        <w:tc>
          <w:tcPr>
            <w:tcW w:w="5529" w:type="dxa"/>
            <w:shd w:val="clear" w:color="auto" w:fill="auto"/>
            <w:vAlign w:val="center"/>
          </w:tcPr>
          <w:p w14:paraId="1F54A987" w14:textId="77777777" w:rsidR="009D790C" w:rsidRPr="005371FE" w:rsidRDefault="009D790C" w:rsidP="00926567">
            <w:pPr>
              <w:spacing w:before="60" w:after="60"/>
            </w:pPr>
            <w:r>
              <w:t>Conference attendance</w:t>
            </w:r>
          </w:p>
        </w:tc>
        <w:tc>
          <w:tcPr>
            <w:tcW w:w="992" w:type="dxa"/>
          </w:tcPr>
          <w:p w14:paraId="0DF858EB" w14:textId="77777777" w:rsidR="009D790C" w:rsidRPr="008E6D22" w:rsidRDefault="009D790C" w:rsidP="00926567">
            <w:pPr>
              <w:spacing w:before="60" w:after="60"/>
              <w:jc w:val="right"/>
            </w:pPr>
            <w:r w:rsidRPr="008E6D22">
              <w:t>59.2%</w:t>
            </w:r>
          </w:p>
        </w:tc>
        <w:tc>
          <w:tcPr>
            <w:tcW w:w="992" w:type="dxa"/>
            <w:shd w:val="clear" w:color="auto" w:fill="auto"/>
            <w:vAlign w:val="center"/>
          </w:tcPr>
          <w:p w14:paraId="0B77DDAE" w14:textId="77777777" w:rsidR="009D790C" w:rsidRPr="008E6D22" w:rsidRDefault="009D790C" w:rsidP="00926567">
            <w:pPr>
              <w:spacing w:before="60" w:after="60"/>
              <w:jc w:val="right"/>
            </w:pPr>
            <w:r w:rsidRPr="008E6D22">
              <w:t>58.7%</w:t>
            </w:r>
          </w:p>
        </w:tc>
        <w:tc>
          <w:tcPr>
            <w:tcW w:w="992" w:type="dxa"/>
            <w:shd w:val="clear" w:color="auto" w:fill="auto"/>
            <w:vAlign w:val="center"/>
          </w:tcPr>
          <w:p w14:paraId="1080196E" w14:textId="77777777" w:rsidR="009D790C" w:rsidRPr="008E6D22" w:rsidRDefault="009D790C" w:rsidP="00926567">
            <w:pPr>
              <w:spacing w:before="60" w:after="60"/>
              <w:jc w:val="right"/>
            </w:pPr>
            <w:r w:rsidRPr="008E6D22">
              <w:t>60.7%</w:t>
            </w:r>
          </w:p>
        </w:tc>
      </w:tr>
    </w:tbl>
    <w:p w14:paraId="7A0793D8" w14:textId="77777777" w:rsidR="009D790C" w:rsidRPr="008E6D22" w:rsidRDefault="009D790C" w:rsidP="009D790C"/>
    <w:p w14:paraId="0FBFC467" w14:textId="1166B478" w:rsidR="009D790C" w:rsidRDefault="009D790C" w:rsidP="009D790C">
      <w:r w:rsidRPr="008E6D22">
        <w:t xml:space="preserve">During the 2021-22 financial year 90 percent of </w:t>
      </w:r>
      <w:r w:rsidR="00B100F0">
        <w:t xml:space="preserve">conferenced </w:t>
      </w:r>
      <w:r w:rsidRPr="008E6D22">
        <w:t xml:space="preserve">agency notices were </w:t>
      </w:r>
      <w:r w:rsidR="00B100F0">
        <w:t xml:space="preserve">determined </w:t>
      </w:r>
      <w:r w:rsidRPr="008E6D22">
        <w:t xml:space="preserve">within two conferences held with the client, </w:t>
      </w:r>
      <w:bookmarkEnd w:id="3"/>
      <w:r w:rsidRPr="008E6D22">
        <w:t>whilst 84 percent of clients who were served a notice to attend a conference participated in the FRC’s decision-making process by attending at least once.</w:t>
      </w:r>
    </w:p>
    <w:p w14:paraId="792F0DB5" w14:textId="77777777" w:rsidR="009949F2" w:rsidRDefault="009D790C" w:rsidP="009D790C">
      <w:r w:rsidRPr="005371FE">
        <w:t>The Commission often adjourns conferences and hearings to accommodate the attendance of clients and/or support persons</w:t>
      </w:r>
      <w:r>
        <w:t>,</w:t>
      </w:r>
      <w:r w:rsidRPr="005371FE">
        <w:t xml:space="preserve"> or to obtain updated information from service providers about progress made under active case plans. Adjournments can also be used in circumstances where clients have developed insight into their own behaviours and would like sufficient time to take personal responsibility and implement their own strategies, often with assistance from </w:t>
      </w:r>
    </w:p>
    <w:p w14:paraId="7F7C4844" w14:textId="77777777" w:rsidR="009949F2" w:rsidRDefault="009949F2">
      <w:pPr>
        <w:spacing w:after="160" w:line="259" w:lineRule="auto"/>
      </w:pPr>
      <w:r>
        <w:br w:type="page"/>
      </w:r>
    </w:p>
    <w:p w14:paraId="4ADE4B81" w14:textId="1D2DC21B" w:rsidR="009D790C" w:rsidRDefault="009D790C" w:rsidP="009D790C">
      <w:r w:rsidRPr="005371FE">
        <w:lastRenderedPageBreak/>
        <w:t>within their family and/or other support network</w:t>
      </w:r>
      <w:r>
        <w:t>s</w:t>
      </w:r>
      <w:r w:rsidRPr="005371FE">
        <w:t>.</w:t>
      </w:r>
      <w:r>
        <w:t xml:space="preserve"> The Commission considers that the success of the holistic and collaborative approach to decision-making is reflected in the increase of client engagement as mirrored in the conference attendance statistics provided in the </w:t>
      </w:r>
      <w:r w:rsidR="00DC26B1">
        <w:t>previous</w:t>
      </w:r>
      <w:r>
        <w:t xml:space="preserve"> table.</w:t>
      </w:r>
    </w:p>
    <w:p w14:paraId="4D037485" w14:textId="77777777" w:rsidR="009D790C" w:rsidRPr="005371FE" w:rsidRDefault="009D790C" w:rsidP="009D790C"/>
    <w:p w14:paraId="1899F84C" w14:textId="77777777" w:rsidR="009D790C" w:rsidRPr="005371FE" w:rsidRDefault="009D790C" w:rsidP="009D790C">
      <w:pPr>
        <w:pStyle w:val="Heading3"/>
      </w:pPr>
      <w:r w:rsidRPr="005371FE">
        <w:t>FRC decisions have a focus on capacity-building</w:t>
      </w:r>
      <w:r>
        <w:t>.</w:t>
      </w:r>
    </w:p>
    <w:p w14:paraId="65D73740" w14:textId="77777777" w:rsidR="009D790C" w:rsidRPr="005371FE" w:rsidRDefault="009D790C" w:rsidP="009D790C">
      <w:r w:rsidRPr="005371FE">
        <w:t>Decisions can be made by agreement or order of the Commission. Community members can also voluntarily request referrals or income management. A continuum of possible decisions made at conference follows.</w:t>
      </w:r>
    </w:p>
    <w:p w14:paraId="0C6F8292" w14:textId="77777777" w:rsidR="009D790C" w:rsidRPr="005371FE" w:rsidRDefault="009D790C" w:rsidP="009D790C"/>
    <w:p w14:paraId="2CF0D93B" w14:textId="66BE618C" w:rsidR="009D790C" w:rsidRPr="005371FE" w:rsidRDefault="009D790C" w:rsidP="009D790C">
      <w:pPr>
        <w:spacing w:after="160" w:line="259" w:lineRule="auto"/>
        <w:rPr>
          <w:bCs/>
          <w:noProof/>
        </w:rPr>
      </w:pPr>
      <w:r w:rsidRPr="005371FE">
        <w:rPr>
          <w:bCs/>
          <w:noProof/>
        </w:rPr>
        <w:drawing>
          <wp:inline distT="0" distB="0" distL="0" distR="0" wp14:anchorId="5C6AFCBB" wp14:editId="0F6E7897">
            <wp:extent cx="5332364" cy="1156563"/>
            <wp:effectExtent l="0" t="0" r="1905"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RC decisions without border grayscale - CMY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32364" cy="1156563"/>
                    </a:xfrm>
                    <a:prstGeom prst="rect">
                      <a:avLst/>
                    </a:prstGeom>
                  </pic:spPr>
                </pic:pic>
              </a:graphicData>
            </a:graphic>
          </wp:inline>
        </w:drawing>
      </w:r>
    </w:p>
    <w:p w14:paraId="5DC21CEC" w14:textId="77777777" w:rsidR="00EE0780" w:rsidRDefault="00EE0780">
      <w:pPr>
        <w:spacing w:after="160" w:line="259" w:lineRule="auto"/>
      </w:pPr>
    </w:p>
    <w:p w14:paraId="292F4CE2" w14:textId="68DBAED2" w:rsidR="009D790C" w:rsidRPr="005371FE" w:rsidRDefault="009D790C" w:rsidP="00153BB0">
      <w:r w:rsidRPr="005371FE">
        <w:t>Section 5 of the FRC Act is clear in stipulating that</w:t>
      </w:r>
      <w:r>
        <w:t>,</w:t>
      </w:r>
      <w:r w:rsidRPr="005371FE">
        <w:t xml:space="preserve"> matters should be dealt with in a manner that facilitates early intervention, delivers timely decisions, supports the change of behaviour sought, supports the exercise of local authority and makes use of community support services. The primary goal of the Commissioners is to enter into an agreement with the community member in the first instance. Clients may seek to amend or end a decision by demonstrating their circumstances have changed and children/vulnerable persons would not be detrimentally impacted by the alteration to the decision.</w:t>
      </w:r>
    </w:p>
    <w:p w14:paraId="16A5312D" w14:textId="77777777" w:rsidR="009D790C" w:rsidRPr="005371FE" w:rsidRDefault="009D790C" w:rsidP="009D790C">
      <w:r w:rsidRPr="00E94042">
        <w:t xml:space="preserve">The Local Commissioners received training this year during </w:t>
      </w:r>
      <w:r>
        <w:t xml:space="preserve">the Local </w:t>
      </w:r>
      <w:r w:rsidRPr="00E94042">
        <w:t xml:space="preserve">Commissioner Development </w:t>
      </w:r>
      <w:r>
        <w:t>W</w:t>
      </w:r>
      <w:r w:rsidRPr="00E94042">
        <w:t>eek</w:t>
      </w:r>
      <w:r>
        <w:t xml:space="preserve"> to support client engagement through the motivational interviewing technique – a strategy </w:t>
      </w:r>
      <w:r w:rsidRPr="00E94042">
        <w:t xml:space="preserve">focused on </w:t>
      </w:r>
      <w:r>
        <w:t>laying down a foundation of trust and c</w:t>
      </w:r>
      <w:r w:rsidRPr="00E94042">
        <w:t xml:space="preserve">onnection </w:t>
      </w:r>
      <w:r>
        <w:t xml:space="preserve">to foster </w:t>
      </w:r>
      <w:r w:rsidRPr="00E94042">
        <w:t xml:space="preserve">a safe environment for clients to feel heard and share their stories. It is through this support clients are able to </w:t>
      </w:r>
      <w:r>
        <w:t>build their capacity t</w:t>
      </w:r>
      <w:r w:rsidRPr="00E94042">
        <w:t>o change their behaviour and minimise collateral harm to others.</w:t>
      </w:r>
    </w:p>
    <w:p w14:paraId="5A5C523B" w14:textId="12F0849C" w:rsidR="009D790C" w:rsidRDefault="009D790C" w:rsidP="009D790C">
      <w:r>
        <w:t>As can be seen from the table below, c</w:t>
      </w:r>
      <w:r w:rsidRPr="005371FE">
        <w:t xml:space="preserve">lients </w:t>
      </w:r>
      <w:r>
        <w:t xml:space="preserve">continue to </w:t>
      </w:r>
      <w:r w:rsidRPr="005371FE">
        <w:t>assum</w:t>
      </w:r>
      <w:r>
        <w:t xml:space="preserve">e </w:t>
      </w:r>
      <w:r w:rsidRPr="005371FE">
        <w:t>personal responsibility</w:t>
      </w:r>
      <w:r>
        <w:t xml:space="preserve"> </w:t>
      </w:r>
      <w:r w:rsidRPr="005371FE">
        <w:t>demonstrating</w:t>
      </w:r>
      <w:r>
        <w:t xml:space="preserve"> </w:t>
      </w:r>
      <w:r w:rsidRPr="005371FE">
        <w:t xml:space="preserve">insight regarding their actions at the earliest opportunity (i.e., agreements entered into at </w:t>
      </w:r>
      <w:r w:rsidRPr="008E6D22">
        <w:t>conference). Sixty-six percent of all decisions to attend support services were by agreement.</w:t>
      </w:r>
    </w:p>
    <w:p w14:paraId="22CB74D5" w14:textId="3F9C5E07" w:rsidR="006A2989" w:rsidRDefault="006A2989">
      <w:pPr>
        <w:spacing w:after="160" w:line="259" w:lineRule="auto"/>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992"/>
        <w:gridCol w:w="993"/>
        <w:gridCol w:w="1275"/>
      </w:tblGrid>
      <w:tr w:rsidR="009D790C" w:rsidRPr="005371FE" w14:paraId="2DC46CBF" w14:textId="77777777" w:rsidTr="00926567">
        <w:trPr>
          <w:trHeight w:val="300"/>
        </w:trPr>
        <w:tc>
          <w:tcPr>
            <w:tcW w:w="5245" w:type="dxa"/>
            <w:shd w:val="clear" w:color="auto" w:fill="808080" w:themeFill="background1" w:themeFillShade="80"/>
            <w:vAlign w:val="center"/>
          </w:tcPr>
          <w:p w14:paraId="724DC939" w14:textId="77777777" w:rsidR="009D790C" w:rsidRPr="005371FE" w:rsidRDefault="009D790C" w:rsidP="00926567">
            <w:pPr>
              <w:spacing w:before="60" w:after="60"/>
              <w:rPr>
                <w:b/>
                <w:bCs/>
                <w:color w:val="FFFFFF" w:themeColor="background1"/>
              </w:rPr>
            </w:pPr>
            <w:r w:rsidRPr="005371FE">
              <w:rPr>
                <w:b/>
                <w:bCs/>
                <w:color w:val="FFFFFF" w:themeColor="background1"/>
              </w:rPr>
              <w:t>Conference outcomes</w:t>
            </w:r>
          </w:p>
        </w:tc>
        <w:tc>
          <w:tcPr>
            <w:tcW w:w="992" w:type="dxa"/>
            <w:shd w:val="clear" w:color="auto" w:fill="808080" w:themeFill="background1" w:themeFillShade="80"/>
            <w:vAlign w:val="center"/>
          </w:tcPr>
          <w:p w14:paraId="2D2D723D" w14:textId="77777777" w:rsidR="009D790C" w:rsidRPr="005371FE" w:rsidRDefault="009D790C" w:rsidP="00926567">
            <w:pPr>
              <w:spacing w:before="60" w:after="60"/>
              <w:jc w:val="center"/>
              <w:rPr>
                <w:b/>
                <w:bCs/>
                <w:color w:val="FFFFFF" w:themeColor="background1"/>
              </w:rPr>
            </w:pPr>
            <w:r w:rsidRPr="005371FE">
              <w:rPr>
                <w:b/>
                <w:bCs/>
                <w:color w:val="FFFFFF" w:themeColor="background1"/>
              </w:rPr>
              <w:t>2020-21</w:t>
            </w:r>
          </w:p>
        </w:tc>
        <w:tc>
          <w:tcPr>
            <w:tcW w:w="993" w:type="dxa"/>
            <w:shd w:val="clear" w:color="auto" w:fill="808080" w:themeFill="background1" w:themeFillShade="80"/>
            <w:vAlign w:val="center"/>
          </w:tcPr>
          <w:p w14:paraId="4384629B" w14:textId="77777777" w:rsidR="009D790C" w:rsidRPr="005371FE" w:rsidRDefault="009D790C" w:rsidP="00926567">
            <w:pPr>
              <w:spacing w:before="60" w:after="60"/>
              <w:jc w:val="center"/>
              <w:rPr>
                <w:b/>
                <w:bCs/>
                <w:color w:val="FFFFFF" w:themeColor="background1"/>
              </w:rPr>
            </w:pPr>
            <w:r w:rsidRPr="005371FE">
              <w:rPr>
                <w:b/>
                <w:bCs/>
                <w:color w:val="FFFFFF" w:themeColor="background1"/>
              </w:rPr>
              <w:t>202</w:t>
            </w:r>
            <w:r>
              <w:rPr>
                <w:b/>
                <w:bCs/>
                <w:color w:val="FFFFFF" w:themeColor="background1"/>
              </w:rPr>
              <w:t>1</w:t>
            </w:r>
            <w:r w:rsidRPr="005371FE">
              <w:rPr>
                <w:b/>
                <w:bCs/>
                <w:color w:val="FFFFFF" w:themeColor="background1"/>
              </w:rPr>
              <w:t>-2</w:t>
            </w:r>
            <w:r>
              <w:rPr>
                <w:b/>
                <w:bCs/>
                <w:color w:val="FFFFFF" w:themeColor="background1"/>
              </w:rPr>
              <w:t>2</w:t>
            </w:r>
          </w:p>
        </w:tc>
        <w:tc>
          <w:tcPr>
            <w:tcW w:w="1275" w:type="dxa"/>
            <w:shd w:val="clear" w:color="auto" w:fill="808080" w:themeFill="background1" w:themeFillShade="80"/>
            <w:vAlign w:val="center"/>
          </w:tcPr>
          <w:p w14:paraId="48C7A2FC" w14:textId="77777777" w:rsidR="009D790C" w:rsidRPr="005371FE" w:rsidRDefault="009D790C" w:rsidP="00926567">
            <w:pPr>
              <w:spacing w:before="60" w:after="60"/>
              <w:jc w:val="center"/>
              <w:rPr>
                <w:b/>
                <w:bCs/>
                <w:color w:val="FFFFFF" w:themeColor="background1"/>
              </w:rPr>
            </w:pPr>
            <w:r w:rsidRPr="005371FE">
              <w:rPr>
                <w:b/>
                <w:bCs/>
                <w:color w:val="FFFFFF" w:themeColor="background1"/>
              </w:rPr>
              <w:t>% change</w:t>
            </w:r>
          </w:p>
        </w:tc>
      </w:tr>
      <w:tr w:rsidR="009D790C" w:rsidRPr="005371FE" w14:paraId="237C1305" w14:textId="77777777" w:rsidTr="00926567">
        <w:trPr>
          <w:trHeight w:val="300"/>
        </w:trPr>
        <w:tc>
          <w:tcPr>
            <w:tcW w:w="5245" w:type="dxa"/>
            <w:shd w:val="clear" w:color="auto" w:fill="auto"/>
            <w:vAlign w:val="center"/>
            <w:hideMark/>
          </w:tcPr>
          <w:p w14:paraId="638CB500" w14:textId="77777777" w:rsidR="009D790C" w:rsidRPr="005371FE" w:rsidRDefault="009D790C" w:rsidP="00926567">
            <w:pPr>
              <w:spacing w:before="60" w:after="60"/>
            </w:pPr>
            <w:r w:rsidRPr="005371FE">
              <w:t>Agreements to attend community support services</w:t>
            </w:r>
          </w:p>
        </w:tc>
        <w:tc>
          <w:tcPr>
            <w:tcW w:w="992" w:type="dxa"/>
            <w:shd w:val="clear" w:color="auto" w:fill="auto"/>
            <w:vAlign w:val="center"/>
          </w:tcPr>
          <w:p w14:paraId="2808A422" w14:textId="77777777" w:rsidR="009D790C" w:rsidRPr="008E6D22" w:rsidRDefault="009D790C" w:rsidP="00926567">
            <w:pPr>
              <w:spacing w:before="60" w:after="60"/>
              <w:jc w:val="right"/>
            </w:pPr>
            <w:r w:rsidRPr="008E6D22">
              <w:t>271</w:t>
            </w:r>
          </w:p>
        </w:tc>
        <w:tc>
          <w:tcPr>
            <w:tcW w:w="993" w:type="dxa"/>
            <w:shd w:val="clear" w:color="auto" w:fill="auto"/>
            <w:vAlign w:val="center"/>
          </w:tcPr>
          <w:p w14:paraId="6E8D6BBD" w14:textId="77777777" w:rsidR="009D790C" w:rsidRPr="008E6D22" w:rsidRDefault="009D790C" w:rsidP="00926567">
            <w:pPr>
              <w:spacing w:before="60" w:after="60"/>
              <w:jc w:val="right"/>
            </w:pPr>
            <w:r w:rsidRPr="008E6D22">
              <w:t>271</w:t>
            </w:r>
          </w:p>
        </w:tc>
        <w:tc>
          <w:tcPr>
            <w:tcW w:w="1275" w:type="dxa"/>
            <w:vAlign w:val="center"/>
          </w:tcPr>
          <w:p w14:paraId="426B2520" w14:textId="77777777" w:rsidR="009D790C" w:rsidRPr="008E6D22" w:rsidRDefault="009D790C" w:rsidP="00926567">
            <w:pPr>
              <w:spacing w:before="60" w:after="60"/>
              <w:jc w:val="right"/>
            </w:pPr>
            <w:r w:rsidRPr="008E6D22">
              <w:t>0%</w:t>
            </w:r>
          </w:p>
        </w:tc>
      </w:tr>
      <w:tr w:rsidR="009D790C" w:rsidRPr="005371FE" w14:paraId="513E1F8D" w14:textId="77777777" w:rsidTr="00926567">
        <w:trPr>
          <w:trHeight w:val="300"/>
        </w:trPr>
        <w:tc>
          <w:tcPr>
            <w:tcW w:w="5245" w:type="dxa"/>
            <w:shd w:val="clear" w:color="auto" w:fill="auto"/>
            <w:vAlign w:val="center"/>
            <w:hideMark/>
          </w:tcPr>
          <w:p w14:paraId="69F26AD9" w14:textId="77777777" w:rsidR="009D790C" w:rsidRPr="005371FE" w:rsidRDefault="009D790C" w:rsidP="00926567">
            <w:pPr>
              <w:spacing w:before="60" w:after="60"/>
            </w:pPr>
            <w:r w:rsidRPr="005371FE">
              <w:t>Orders made to attend community support services</w:t>
            </w:r>
          </w:p>
        </w:tc>
        <w:tc>
          <w:tcPr>
            <w:tcW w:w="992" w:type="dxa"/>
            <w:shd w:val="clear" w:color="auto" w:fill="auto"/>
            <w:vAlign w:val="center"/>
          </w:tcPr>
          <w:p w14:paraId="13FA0457" w14:textId="77777777" w:rsidR="009D790C" w:rsidRPr="008E6D22" w:rsidRDefault="009D790C" w:rsidP="00926567">
            <w:pPr>
              <w:spacing w:before="60" w:after="60"/>
              <w:jc w:val="right"/>
            </w:pPr>
            <w:r w:rsidRPr="008E6D22">
              <w:t>157</w:t>
            </w:r>
          </w:p>
        </w:tc>
        <w:tc>
          <w:tcPr>
            <w:tcW w:w="993" w:type="dxa"/>
            <w:shd w:val="clear" w:color="auto" w:fill="auto"/>
            <w:vAlign w:val="center"/>
          </w:tcPr>
          <w:p w14:paraId="79853A98" w14:textId="77777777" w:rsidR="009D790C" w:rsidRPr="008E6D22" w:rsidRDefault="009D790C" w:rsidP="00926567">
            <w:pPr>
              <w:spacing w:before="60" w:after="60"/>
              <w:jc w:val="right"/>
            </w:pPr>
            <w:r w:rsidRPr="008E6D22">
              <w:t>138</w:t>
            </w:r>
          </w:p>
        </w:tc>
        <w:tc>
          <w:tcPr>
            <w:tcW w:w="1275" w:type="dxa"/>
            <w:vAlign w:val="center"/>
          </w:tcPr>
          <w:p w14:paraId="0725D3E1" w14:textId="77777777" w:rsidR="009D790C" w:rsidRPr="008E6D22" w:rsidRDefault="009D790C" w:rsidP="00926567">
            <w:pPr>
              <w:spacing w:before="60" w:after="60"/>
              <w:jc w:val="right"/>
            </w:pPr>
            <w:r w:rsidRPr="008E6D22">
              <w:t>-12%</w:t>
            </w:r>
          </w:p>
        </w:tc>
      </w:tr>
    </w:tbl>
    <w:p w14:paraId="574D42A2" w14:textId="77777777" w:rsidR="009D790C" w:rsidRDefault="009D790C" w:rsidP="009D790C">
      <w:pPr>
        <w:spacing w:after="160" w:line="259" w:lineRule="auto"/>
      </w:pPr>
    </w:p>
    <w:p w14:paraId="4A021598" w14:textId="12557C5D" w:rsidR="00A43D71" w:rsidRDefault="009D790C" w:rsidP="009D790C">
      <w:r w:rsidRPr="005371FE">
        <w:t>Further information regarding conference activity and outcomes during the reporting period can be found in the Non-financial performance outcomes section.</w:t>
      </w:r>
    </w:p>
    <w:p w14:paraId="138B0E49" w14:textId="77777777" w:rsidR="009D790C" w:rsidRPr="005371FE" w:rsidRDefault="009D790C" w:rsidP="009D790C">
      <w:pPr>
        <w:pStyle w:val="Heading3"/>
      </w:pPr>
      <w:r w:rsidRPr="005371FE">
        <w:lastRenderedPageBreak/>
        <w:t>Referral pathways and case management</w:t>
      </w:r>
    </w:p>
    <w:p w14:paraId="68B01B1C" w14:textId="77777777" w:rsidR="009D790C" w:rsidRPr="00CA3F64" w:rsidRDefault="009D790C" w:rsidP="00B91523">
      <w:pPr>
        <w:pStyle w:val="Heading5"/>
      </w:pPr>
      <w:r w:rsidRPr="00CA3F64">
        <w:t>Conditional referrals</w:t>
      </w:r>
    </w:p>
    <w:p w14:paraId="470CE13B" w14:textId="77777777" w:rsidR="009D790C" w:rsidRPr="005371FE" w:rsidRDefault="009D790C" w:rsidP="009D790C">
      <w:r w:rsidRPr="005371FE">
        <w:t>Commissioners are guided by the FRC Act, sections 4 and 5, to encourage community members to engage in socially responsible ways, and in doing so, make appropriate use of community support services. The Commissioners use the referral pathways available in each community to strengthen the client’s resilience to face the challenges they experience, and to ensure the wellbeing and safety of children and vulnerable people through broad-based counselling and education.</w:t>
      </w:r>
    </w:p>
    <w:p w14:paraId="54296907" w14:textId="0C840074" w:rsidR="009D790C" w:rsidRPr="005371FE" w:rsidRDefault="009D790C" w:rsidP="009D790C">
      <w:pPr>
        <w:spacing w:after="160" w:line="259" w:lineRule="auto"/>
      </w:pPr>
      <w:r w:rsidRPr="005371FE">
        <w:t>During the conferencing process Commissioners may decide to refer the client to support services such as:</w:t>
      </w:r>
    </w:p>
    <w:p w14:paraId="53AF0E27" w14:textId="77777777" w:rsidR="009D790C" w:rsidRPr="005371FE" w:rsidRDefault="009D790C" w:rsidP="009D790C">
      <w:pPr>
        <w:pStyle w:val="ListBullet2"/>
        <w:tabs>
          <w:tab w:val="clear" w:pos="643"/>
          <w:tab w:val="num" w:pos="709"/>
        </w:tabs>
        <w:ind w:left="709" w:hanging="283"/>
      </w:pPr>
      <w:r w:rsidRPr="005371FE">
        <w:t>Wellbeing Centres (WBCs) to address alcohol and/or drug misuse, gambling, DV or social and emotional health</w:t>
      </w:r>
      <w:r>
        <w:t>-</w:t>
      </w:r>
      <w:r w:rsidRPr="005371FE">
        <w:t>related issues</w:t>
      </w:r>
    </w:p>
    <w:p w14:paraId="7DBEDB7C" w14:textId="77777777" w:rsidR="009D790C" w:rsidRPr="005371FE" w:rsidRDefault="009D790C" w:rsidP="009D790C">
      <w:pPr>
        <w:pStyle w:val="ListBullet2"/>
        <w:tabs>
          <w:tab w:val="clear" w:pos="643"/>
          <w:tab w:val="num" w:pos="709"/>
        </w:tabs>
        <w:ind w:left="709" w:hanging="283"/>
      </w:pPr>
      <w:r>
        <w:t>p</w:t>
      </w:r>
      <w:r w:rsidRPr="005371FE">
        <w:t>arenting programs to assist in implementing good parenting practices</w:t>
      </w:r>
    </w:p>
    <w:p w14:paraId="1DF724C7" w14:textId="77777777" w:rsidR="009D790C" w:rsidRPr="005371FE" w:rsidRDefault="009D790C" w:rsidP="009D790C">
      <w:pPr>
        <w:pStyle w:val="ListBullet2"/>
        <w:tabs>
          <w:tab w:val="clear" w:pos="643"/>
          <w:tab w:val="num" w:pos="709"/>
        </w:tabs>
        <w:ind w:left="709" w:hanging="283"/>
      </w:pPr>
      <w:r w:rsidRPr="005371FE">
        <w:t>MPower, a money management program, to assist with budgeting and meeting priority financial needs</w:t>
      </w:r>
    </w:p>
    <w:p w14:paraId="2D4A9C2B" w14:textId="77777777" w:rsidR="009D790C" w:rsidRPr="005371FE" w:rsidRDefault="009D790C" w:rsidP="009D790C">
      <w:pPr>
        <w:pStyle w:val="ListBullet2"/>
        <w:tabs>
          <w:tab w:val="clear" w:pos="643"/>
          <w:tab w:val="num" w:pos="709"/>
        </w:tabs>
        <w:ind w:left="709" w:hanging="283"/>
      </w:pPr>
      <w:r w:rsidRPr="005371FE">
        <w:t xml:space="preserve">School Attendance Officers to assist parents to ensure children attend </w:t>
      </w:r>
      <w:r>
        <w:t xml:space="preserve">a </w:t>
      </w:r>
      <w:r w:rsidRPr="005371FE">
        <w:t>school or</w:t>
      </w:r>
    </w:p>
    <w:p w14:paraId="2255E81A" w14:textId="77777777" w:rsidR="009D790C" w:rsidRPr="005371FE" w:rsidRDefault="009D790C" w:rsidP="009D790C">
      <w:pPr>
        <w:pStyle w:val="ListBullet2"/>
        <w:tabs>
          <w:tab w:val="clear" w:pos="643"/>
          <w:tab w:val="num" w:pos="709"/>
        </w:tabs>
        <w:ind w:left="709" w:hanging="283"/>
      </w:pPr>
      <w:r w:rsidRPr="005371FE">
        <w:t>other appropriate support services.</w:t>
      </w:r>
    </w:p>
    <w:p w14:paraId="62F5D7D3" w14:textId="77777777" w:rsidR="00E46BAE" w:rsidRDefault="009D790C" w:rsidP="009D790C">
      <w:pPr>
        <w:rPr>
          <w:lang w:val="en-GB"/>
        </w:rPr>
      </w:pPr>
      <w:r w:rsidRPr="005371FE">
        <w:rPr>
          <w:lang w:val="en-GB"/>
        </w:rPr>
        <w:t xml:space="preserve">As demonstrated in the table below the Commissioners have continued to </w:t>
      </w:r>
      <w:r>
        <w:rPr>
          <w:lang w:val="en-GB"/>
        </w:rPr>
        <w:t>make a number of</w:t>
      </w:r>
      <w:r w:rsidRPr="005371FE">
        <w:rPr>
          <w:lang w:val="en-GB"/>
        </w:rPr>
        <w:t xml:space="preserve"> referrals from FRAs and Orders</w:t>
      </w:r>
      <w:r>
        <w:rPr>
          <w:lang w:val="en-GB"/>
        </w:rPr>
        <w:t>.</w:t>
      </w:r>
    </w:p>
    <w:p w14:paraId="33841028" w14:textId="0652DB54" w:rsidR="00E46BAE" w:rsidRDefault="00E46BAE" w:rsidP="009D790C">
      <w:pPr>
        <w:rPr>
          <w:lang w:val="en-GB"/>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992"/>
        <w:gridCol w:w="992"/>
        <w:gridCol w:w="992"/>
      </w:tblGrid>
      <w:tr w:rsidR="00E46BAE" w:rsidRPr="005371FE" w14:paraId="1F9CE92A" w14:textId="77777777" w:rsidTr="006B1EB7">
        <w:trPr>
          <w:trHeight w:val="300"/>
        </w:trPr>
        <w:tc>
          <w:tcPr>
            <w:tcW w:w="5529" w:type="dxa"/>
            <w:shd w:val="clear" w:color="auto" w:fill="808080" w:themeFill="background1" w:themeFillShade="80"/>
            <w:vAlign w:val="center"/>
          </w:tcPr>
          <w:p w14:paraId="3B61EE38" w14:textId="77777777" w:rsidR="00E46BAE" w:rsidRPr="005371FE" w:rsidRDefault="00E46BAE" w:rsidP="006B1EB7">
            <w:pPr>
              <w:spacing w:before="60" w:after="60"/>
              <w:rPr>
                <w:b/>
                <w:bCs/>
                <w:color w:val="FFFFFF" w:themeColor="background1"/>
              </w:rPr>
            </w:pPr>
            <w:r w:rsidRPr="005371FE">
              <w:rPr>
                <w:b/>
                <w:bCs/>
                <w:color w:val="FFFFFF" w:themeColor="background1"/>
              </w:rPr>
              <w:t>Number of referrals from FRAs and orders</w:t>
            </w:r>
          </w:p>
        </w:tc>
        <w:tc>
          <w:tcPr>
            <w:tcW w:w="992" w:type="dxa"/>
            <w:shd w:val="clear" w:color="auto" w:fill="808080" w:themeFill="background1" w:themeFillShade="80"/>
          </w:tcPr>
          <w:p w14:paraId="36FCC03F" w14:textId="77777777" w:rsidR="00E46BAE" w:rsidRPr="005371FE" w:rsidRDefault="00E46BAE" w:rsidP="006B1EB7">
            <w:pPr>
              <w:spacing w:before="60" w:after="60"/>
              <w:jc w:val="center"/>
              <w:rPr>
                <w:b/>
                <w:bCs/>
                <w:color w:val="FFFFFF" w:themeColor="background1"/>
              </w:rPr>
            </w:pPr>
            <w:r w:rsidRPr="005371FE">
              <w:rPr>
                <w:b/>
                <w:bCs/>
                <w:color w:val="FFFFFF" w:themeColor="background1"/>
              </w:rPr>
              <w:t>2019-20</w:t>
            </w:r>
          </w:p>
        </w:tc>
        <w:tc>
          <w:tcPr>
            <w:tcW w:w="992" w:type="dxa"/>
            <w:shd w:val="clear" w:color="auto" w:fill="808080" w:themeFill="background1" w:themeFillShade="80"/>
            <w:vAlign w:val="center"/>
          </w:tcPr>
          <w:p w14:paraId="19680BED" w14:textId="77777777" w:rsidR="00E46BAE" w:rsidRPr="005371FE" w:rsidRDefault="00E46BAE" w:rsidP="006B1EB7">
            <w:pPr>
              <w:spacing w:before="60" w:after="60"/>
              <w:jc w:val="center"/>
              <w:rPr>
                <w:b/>
                <w:bCs/>
                <w:color w:val="FFFFFF" w:themeColor="background1"/>
              </w:rPr>
            </w:pPr>
            <w:r w:rsidRPr="005371FE">
              <w:rPr>
                <w:b/>
                <w:bCs/>
                <w:color w:val="FFFFFF" w:themeColor="background1"/>
              </w:rPr>
              <w:t>2020-21</w:t>
            </w:r>
          </w:p>
        </w:tc>
        <w:tc>
          <w:tcPr>
            <w:tcW w:w="992" w:type="dxa"/>
            <w:shd w:val="clear" w:color="auto" w:fill="808080" w:themeFill="background1" w:themeFillShade="80"/>
            <w:vAlign w:val="center"/>
          </w:tcPr>
          <w:p w14:paraId="479E512C" w14:textId="77777777" w:rsidR="00E46BAE" w:rsidRPr="005371FE" w:rsidRDefault="00E46BAE" w:rsidP="006B1EB7">
            <w:pPr>
              <w:spacing w:before="60" w:after="60"/>
              <w:jc w:val="center"/>
              <w:rPr>
                <w:b/>
                <w:bCs/>
                <w:color w:val="FFFFFF" w:themeColor="background1"/>
              </w:rPr>
            </w:pPr>
            <w:r w:rsidRPr="005371FE">
              <w:rPr>
                <w:b/>
                <w:bCs/>
                <w:color w:val="FFFFFF" w:themeColor="background1"/>
              </w:rPr>
              <w:t>202</w:t>
            </w:r>
            <w:r>
              <w:rPr>
                <w:b/>
                <w:bCs/>
                <w:color w:val="FFFFFF" w:themeColor="background1"/>
              </w:rPr>
              <w:t>1</w:t>
            </w:r>
            <w:r w:rsidRPr="005371FE">
              <w:rPr>
                <w:b/>
                <w:bCs/>
                <w:color w:val="FFFFFF" w:themeColor="background1"/>
              </w:rPr>
              <w:t>-2</w:t>
            </w:r>
            <w:r>
              <w:rPr>
                <w:b/>
                <w:bCs/>
                <w:color w:val="FFFFFF" w:themeColor="background1"/>
              </w:rPr>
              <w:t>2</w:t>
            </w:r>
          </w:p>
        </w:tc>
      </w:tr>
      <w:tr w:rsidR="00E46BAE" w:rsidRPr="005371FE" w14:paraId="62C3436E" w14:textId="77777777" w:rsidTr="006B1EB7">
        <w:trPr>
          <w:trHeight w:val="300"/>
        </w:trPr>
        <w:tc>
          <w:tcPr>
            <w:tcW w:w="5529" w:type="dxa"/>
            <w:shd w:val="clear" w:color="auto" w:fill="auto"/>
            <w:vAlign w:val="center"/>
          </w:tcPr>
          <w:p w14:paraId="61A9C47A" w14:textId="1B7FEA3A" w:rsidR="00E46BAE" w:rsidRPr="005371FE" w:rsidRDefault="00CB7670" w:rsidP="006B1EB7">
            <w:pPr>
              <w:spacing w:before="60" w:after="60"/>
            </w:pPr>
            <w:r>
              <w:t>Conditional r</w:t>
            </w:r>
            <w:r w:rsidR="00E46BAE" w:rsidRPr="005371FE">
              <w:t>eferrals to service providers</w:t>
            </w:r>
            <w:r w:rsidR="00E46BAE" w:rsidRPr="005371FE">
              <w:rPr>
                <w:vertAlign w:val="superscript"/>
              </w:rPr>
              <w:footnoteReference w:id="5"/>
            </w:r>
          </w:p>
        </w:tc>
        <w:tc>
          <w:tcPr>
            <w:tcW w:w="992" w:type="dxa"/>
          </w:tcPr>
          <w:p w14:paraId="48E35C74" w14:textId="77777777" w:rsidR="00E46BAE" w:rsidRPr="008E6D22" w:rsidRDefault="00E46BAE" w:rsidP="006B1EB7">
            <w:pPr>
              <w:spacing w:before="60" w:after="60"/>
              <w:jc w:val="right"/>
            </w:pPr>
            <w:r w:rsidRPr="008E6D22">
              <w:t>402</w:t>
            </w:r>
          </w:p>
        </w:tc>
        <w:tc>
          <w:tcPr>
            <w:tcW w:w="992" w:type="dxa"/>
            <w:shd w:val="clear" w:color="auto" w:fill="auto"/>
            <w:vAlign w:val="center"/>
          </w:tcPr>
          <w:p w14:paraId="555EA9B4" w14:textId="77777777" w:rsidR="00E46BAE" w:rsidRPr="008E6D22" w:rsidRDefault="00E46BAE" w:rsidP="006B1EB7">
            <w:pPr>
              <w:spacing w:before="60" w:after="60"/>
              <w:jc w:val="right"/>
            </w:pPr>
            <w:r w:rsidRPr="008E6D22">
              <w:t>519</w:t>
            </w:r>
          </w:p>
        </w:tc>
        <w:tc>
          <w:tcPr>
            <w:tcW w:w="992" w:type="dxa"/>
            <w:shd w:val="clear" w:color="auto" w:fill="auto"/>
            <w:vAlign w:val="center"/>
          </w:tcPr>
          <w:p w14:paraId="2BA136E2" w14:textId="77777777" w:rsidR="00E46BAE" w:rsidRPr="008E6D22" w:rsidRDefault="00E46BAE" w:rsidP="006B1EB7">
            <w:pPr>
              <w:spacing w:before="60" w:after="60"/>
              <w:jc w:val="right"/>
            </w:pPr>
            <w:r w:rsidRPr="008E6D22">
              <w:t>464</w:t>
            </w:r>
          </w:p>
        </w:tc>
      </w:tr>
    </w:tbl>
    <w:p w14:paraId="568159E1" w14:textId="4BCDE1A2" w:rsidR="00E46BAE" w:rsidRDefault="00E46BAE" w:rsidP="009D790C">
      <w:pPr>
        <w:rPr>
          <w:lang w:val="en-GB"/>
        </w:rPr>
      </w:pPr>
    </w:p>
    <w:p w14:paraId="54B5F60D" w14:textId="69603B63" w:rsidR="009D790C" w:rsidRDefault="00FD1CDA" w:rsidP="009D790C">
      <w:pPr>
        <w:rPr>
          <w:lang w:val="en-GB"/>
        </w:rPr>
      </w:pPr>
      <w:r w:rsidRPr="005371FE">
        <w:t xml:space="preserve">Activity this year has </w:t>
      </w:r>
      <w:r w:rsidRPr="008E6D22">
        <w:t>resulted in the second highest number of clients referred to attend support services under either a</w:t>
      </w:r>
      <w:r w:rsidR="009228AA" w:rsidRPr="008E6D22">
        <w:t>n</w:t>
      </w:r>
      <w:r w:rsidRPr="008E6D22">
        <w:t xml:space="preserve"> </w:t>
      </w:r>
      <w:r w:rsidR="00740D79" w:rsidRPr="008E6D22">
        <w:t>FRA</w:t>
      </w:r>
      <w:r w:rsidRPr="008E6D22">
        <w:t xml:space="preserve"> or </w:t>
      </w:r>
      <w:r w:rsidR="003825A2" w:rsidRPr="008E6D22">
        <w:t>o</w:t>
      </w:r>
      <w:r w:rsidRPr="008E6D22">
        <w:t xml:space="preserve">rder in the Commission’s 14-year history with 346 clients referred. </w:t>
      </w:r>
      <w:r w:rsidR="009D790C" w:rsidRPr="008E6D22">
        <w:rPr>
          <w:lang w:val="en-GB"/>
        </w:rPr>
        <w:t xml:space="preserve">The percentage of </w:t>
      </w:r>
      <w:r w:rsidR="009609F7" w:rsidRPr="008E6D22">
        <w:rPr>
          <w:lang w:val="en-GB"/>
        </w:rPr>
        <w:t xml:space="preserve">finalised </w:t>
      </w:r>
      <w:r w:rsidR="009D790C" w:rsidRPr="008E6D22">
        <w:rPr>
          <w:lang w:val="en-GB"/>
        </w:rPr>
        <w:t>conferenced</w:t>
      </w:r>
      <w:r w:rsidR="009609F7" w:rsidRPr="008E6D22">
        <w:rPr>
          <w:lang w:val="en-GB"/>
        </w:rPr>
        <w:t xml:space="preserve"> clients</w:t>
      </w:r>
      <w:r w:rsidR="009D790C" w:rsidRPr="008E6D22">
        <w:rPr>
          <w:lang w:val="en-GB"/>
        </w:rPr>
        <w:t xml:space="preserve"> who were referred increased from </w:t>
      </w:r>
      <w:r w:rsidR="00D97D62" w:rsidRPr="008E6D22">
        <w:rPr>
          <w:lang w:val="en-GB"/>
        </w:rPr>
        <w:t xml:space="preserve">60 </w:t>
      </w:r>
      <w:r w:rsidR="009D790C" w:rsidRPr="008E6D22">
        <w:rPr>
          <w:lang w:val="en-GB"/>
        </w:rPr>
        <w:t xml:space="preserve">percent in 2020-21 to </w:t>
      </w:r>
      <w:r w:rsidR="00D97D62" w:rsidRPr="008E6D22">
        <w:rPr>
          <w:lang w:val="en-GB"/>
        </w:rPr>
        <w:t xml:space="preserve">66 </w:t>
      </w:r>
      <w:r w:rsidR="009D790C" w:rsidRPr="008E6D22">
        <w:rPr>
          <w:lang w:val="en-GB"/>
        </w:rPr>
        <w:t>percent in 2021-22.</w:t>
      </w:r>
    </w:p>
    <w:p w14:paraId="5D3A5EF7" w14:textId="77777777" w:rsidR="00E46BAE" w:rsidRDefault="00E46BAE" w:rsidP="009D790C">
      <w:pPr>
        <w:rPr>
          <w:lang w:val="en-GB"/>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992"/>
        <w:gridCol w:w="992"/>
        <w:gridCol w:w="992"/>
      </w:tblGrid>
      <w:tr w:rsidR="009D790C" w:rsidRPr="005371FE" w14:paraId="37CD6ADA" w14:textId="77777777" w:rsidTr="00926567">
        <w:trPr>
          <w:trHeight w:val="300"/>
        </w:trPr>
        <w:tc>
          <w:tcPr>
            <w:tcW w:w="5529" w:type="dxa"/>
            <w:shd w:val="clear" w:color="auto" w:fill="808080" w:themeFill="background1" w:themeFillShade="80"/>
            <w:vAlign w:val="center"/>
          </w:tcPr>
          <w:p w14:paraId="05550757" w14:textId="5D3ABC6C" w:rsidR="009D790C" w:rsidRPr="005371FE" w:rsidRDefault="009D790C" w:rsidP="00926567">
            <w:pPr>
              <w:spacing w:before="60" w:after="60"/>
              <w:rPr>
                <w:b/>
                <w:bCs/>
                <w:color w:val="FFFFFF" w:themeColor="background1"/>
              </w:rPr>
            </w:pPr>
            <w:r>
              <w:rPr>
                <w:b/>
                <w:bCs/>
                <w:color w:val="FFFFFF" w:themeColor="background1"/>
              </w:rPr>
              <w:t xml:space="preserve">Percentage of </w:t>
            </w:r>
            <w:r w:rsidR="009609F7">
              <w:rPr>
                <w:b/>
                <w:bCs/>
                <w:color w:val="FFFFFF" w:themeColor="background1"/>
              </w:rPr>
              <w:t xml:space="preserve">finalised </w:t>
            </w:r>
            <w:r>
              <w:rPr>
                <w:b/>
                <w:bCs/>
                <w:color w:val="FFFFFF" w:themeColor="background1"/>
              </w:rPr>
              <w:t>conferenced clients referred</w:t>
            </w:r>
          </w:p>
        </w:tc>
        <w:tc>
          <w:tcPr>
            <w:tcW w:w="992" w:type="dxa"/>
            <w:shd w:val="clear" w:color="auto" w:fill="808080" w:themeFill="background1" w:themeFillShade="80"/>
          </w:tcPr>
          <w:p w14:paraId="2A075964" w14:textId="77777777" w:rsidR="009D790C" w:rsidRPr="005371FE" w:rsidRDefault="009D790C" w:rsidP="00926567">
            <w:pPr>
              <w:spacing w:before="60" w:after="60"/>
              <w:jc w:val="center"/>
              <w:rPr>
                <w:b/>
                <w:bCs/>
                <w:color w:val="FFFFFF" w:themeColor="background1"/>
              </w:rPr>
            </w:pPr>
            <w:r w:rsidRPr="005371FE">
              <w:rPr>
                <w:b/>
                <w:bCs/>
                <w:color w:val="FFFFFF" w:themeColor="background1"/>
              </w:rPr>
              <w:t>2019-20</w:t>
            </w:r>
          </w:p>
        </w:tc>
        <w:tc>
          <w:tcPr>
            <w:tcW w:w="992" w:type="dxa"/>
            <w:shd w:val="clear" w:color="auto" w:fill="808080" w:themeFill="background1" w:themeFillShade="80"/>
            <w:vAlign w:val="center"/>
          </w:tcPr>
          <w:p w14:paraId="76FD216C" w14:textId="77777777" w:rsidR="009D790C" w:rsidRPr="005371FE" w:rsidRDefault="009D790C" w:rsidP="00926567">
            <w:pPr>
              <w:spacing w:before="60" w:after="60"/>
              <w:jc w:val="center"/>
              <w:rPr>
                <w:b/>
                <w:bCs/>
                <w:color w:val="FFFFFF" w:themeColor="background1"/>
              </w:rPr>
            </w:pPr>
            <w:r w:rsidRPr="005371FE">
              <w:rPr>
                <w:b/>
                <w:bCs/>
                <w:color w:val="FFFFFF" w:themeColor="background1"/>
              </w:rPr>
              <w:t>2020-21</w:t>
            </w:r>
          </w:p>
        </w:tc>
        <w:tc>
          <w:tcPr>
            <w:tcW w:w="992" w:type="dxa"/>
            <w:shd w:val="clear" w:color="auto" w:fill="808080" w:themeFill="background1" w:themeFillShade="80"/>
            <w:vAlign w:val="center"/>
          </w:tcPr>
          <w:p w14:paraId="67F8331A" w14:textId="77777777" w:rsidR="009D790C" w:rsidRPr="005371FE" w:rsidRDefault="009D790C" w:rsidP="00926567">
            <w:pPr>
              <w:spacing w:before="60" w:after="60"/>
              <w:jc w:val="center"/>
              <w:rPr>
                <w:b/>
                <w:bCs/>
                <w:color w:val="FFFFFF" w:themeColor="background1"/>
              </w:rPr>
            </w:pPr>
            <w:r w:rsidRPr="005371FE">
              <w:rPr>
                <w:b/>
                <w:bCs/>
                <w:color w:val="FFFFFF" w:themeColor="background1"/>
              </w:rPr>
              <w:t>202</w:t>
            </w:r>
            <w:r>
              <w:rPr>
                <w:b/>
                <w:bCs/>
                <w:color w:val="FFFFFF" w:themeColor="background1"/>
              </w:rPr>
              <w:t>1</w:t>
            </w:r>
            <w:r w:rsidRPr="005371FE">
              <w:rPr>
                <w:b/>
                <w:bCs/>
                <w:color w:val="FFFFFF" w:themeColor="background1"/>
              </w:rPr>
              <w:t>-2</w:t>
            </w:r>
            <w:r>
              <w:rPr>
                <w:b/>
                <w:bCs/>
                <w:color w:val="FFFFFF" w:themeColor="background1"/>
              </w:rPr>
              <w:t>2</w:t>
            </w:r>
          </w:p>
        </w:tc>
      </w:tr>
      <w:tr w:rsidR="009D790C" w:rsidRPr="005371FE" w14:paraId="17912D02" w14:textId="77777777" w:rsidTr="00926567">
        <w:trPr>
          <w:trHeight w:val="300"/>
        </w:trPr>
        <w:tc>
          <w:tcPr>
            <w:tcW w:w="5529" w:type="dxa"/>
            <w:shd w:val="clear" w:color="auto" w:fill="auto"/>
            <w:vAlign w:val="center"/>
          </w:tcPr>
          <w:p w14:paraId="5E88F114" w14:textId="2BC54AF9" w:rsidR="009D790C" w:rsidRPr="00E93996" w:rsidRDefault="009D790C" w:rsidP="00926567">
            <w:pPr>
              <w:spacing w:before="60" w:after="60"/>
            </w:pPr>
            <w:r w:rsidRPr="001606AF">
              <w:t xml:space="preserve">Percentage of </w:t>
            </w:r>
            <w:r w:rsidR="009609F7">
              <w:t xml:space="preserve">finalised </w:t>
            </w:r>
            <w:r w:rsidRPr="001606AF">
              <w:t>conferenced clients referred</w:t>
            </w:r>
          </w:p>
        </w:tc>
        <w:tc>
          <w:tcPr>
            <w:tcW w:w="992" w:type="dxa"/>
          </w:tcPr>
          <w:p w14:paraId="46957BD5" w14:textId="7A9142B8" w:rsidR="009D790C" w:rsidRPr="008E6D22" w:rsidRDefault="009609F7" w:rsidP="00926567">
            <w:pPr>
              <w:spacing w:before="60" w:after="60"/>
              <w:jc w:val="right"/>
            </w:pPr>
            <w:r w:rsidRPr="008E6D22">
              <w:t>38</w:t>
            </w:r>
            <w:r w:rsidR="009D790C" w:rsidRPr="008E6D22">
              <w:t>%</w:t>
            </w:r>
          </w:p>
        </w:tc>
        <w:tc>
          <w:tcPr>
            <w:tcW w:w="992" w:type="dxa"/>
            <w:shd w:val="clear" w:color="auto" w:fill="auto"/>
            <w:vAlign w:val="center"/>
          </w:tcPr>
          <w:p w14:paraId="6FBC85F9" w14:textId="68B5A94C" w:rsidR="009D790C" w:rsidRPr="008E6D22" w:rsidRDefault="009609F7" w:rsidP="00926567">
            <w:pPr>
              <w:spacing w:before="60" w:after="60"/>
              <w:jc w:val="right"/>
            </w:pPr>
            <w:r w:rsidRPr="008E6D22">
              <w:t>60</w:t>
            </w:r>
            <w:r w:rsidR="009D790C" w:rsidRPr="008E6D22">
              <w:t>%</w:t>
            </w:r>
          </w:p>
        </w:tc>
        <w:tc>
          <w:tcPr>
            <w:tcW w:w="992" w:type="dxa"/>
            <w:shd w:val="clear" w:color="auto" w:fill="auto"/>
            <w:vAlign w:val="center"/>
          </w:tcPr>
          <w:p w14:paraId="2E6C9B5E" w14:textId="4DDE6AD7" w:rsidR="009D790C" w:rsidRPr="008E6D22" w:rsidRDefault="009609F7" w:rsidP="00926567">
            <w:pPr>
              <w:spacing w:before="60" w:after="60"/>
              <w:jc w:val="right"/>
            </w:pPr>
            <w:r w:rsidRPr="008E6D22">
              <w:t>66</w:t>
            </w:r>
            <w:r w:rsidR="009D790C" w:rsidRPr="008E6D22">
              <w:t>%</w:t>
            </w:r>
          </w:p>
        </w:tc>
      </w:tr>
    </w:tbl>
    <w:p w14:paraId="704381E9" w14:textId="77777777" w:rsidR="009D790C" w:rsidRDefault="009D790C" w:rsidP="009D790C">
      <w:pPr>
        <w:rPr>
          <w:lang w:val="en-GB"/>
        </w:rPr>
      </w:pPr>
    </w:p>
    <w:p w14:paraId="76222678" w14:textId="77777777" w:rsidR="009949F2" w:rsidRDefault="009949F2">
      <w:pPr>
        <w:spacing w:after="160" w:line="259" w:lineRule="auto"/>
        <w:rPr>
          <w:lang w:val="en-GB"/>
        </w:rPr>
      </w:pPr>
      <w:r>
        <w:rPr>
          <w:lang w:val="en-GB"/>
        </w:rPr>
        <w:br w:type="page"/>
      </w:r>
    </w:p>
    <w:p w14:paraId="6D70E061" w14:textId="5DED5D53" w:rsidR="009D790C" w:rsidRPr="005371FE" w:rsidRDefault="009D790C" w:rsidP="009D790C">
      <w:r w:rsidRPr="005371FE">
        <w:rPr>
          <w:lang w:val="en-GB"/>
        </w:rPr>
        <w:lastRenderedPageBreak/>
        <w:t>Where a client has multiple or complex issues to address, Commissioners may refer the client to more than one support service. Referrals to support services may be made on the basis of a</w:t>
      </w:r>
      <w:r w:rsidR="009228AA">
        <w:rPr>
          <w:lang w:val="en-GB"/>
        </w:rPr>
        <w:t>n</w:t>
      </w:r>
      <w:r w:rsidRPr="005371FE">
        <w:rPr>
          <w:lang w:val="en-GB"/>
        </w:rPr>
        <w:t xml:space="preserve"> FRA, where a client agrees to attend a support service and the client and Commissioners agree on the action to be taken together. Alternatively, Commissioners may make a decision to direct a client to attend a support service/s. </w:t>
      </w:r>
      <w:r w:rsidRPr="005371FE">
        <w:t>Progress reports are received from service providers and clients are assessed to determine if they are fulfilling their obligations under the agreement or order. Together with local knowledge, additional information may be sought from agencies and service providers where appropriate to provide the best support possible for the client. The Commission is aided in this capacity by Part 8 of the FRC Act which outlines sophisticated provisions about information exchange between the FRC and relevant entities. Service providers and other persons who can make a useful contribution to the conferencing process are encouraged to attend conference proceedings and discuss the decision-making processes with the Commissioners.</w:t>
      </w:r>
    </w:p>
    <w:p w14:paraId="1E5CE206" w14:textId="77777777" w:rsidR="009D790C" w:rsidRDefault="009D790C" w:rsidP="009D790C">
      <w:pPr>
        <w:spacing w:after="160" w:line="259" w:lineRule="auto"/>
      </w:pPr>
    </w:p>
    <w:p w14:paraId="6C57D286" w14:textId="77777777" w:rsidR="009D790C" w:rsidRPr="00CA3F64" w:rsidRDefault="009D790C" w:rsidP="00B91523">
      <w:pPr>
        <w:pStyle w:val="Heading5"/>
      </w:pPr>
      <w:r w:rsidRPr="00CA3F64">
        <w:t>Voluntary referrals</w:t>
      </w:r>
    </w:p>
    <w:p w14:paraId="0034506D" w14:textId="3A9A757E" w:rsidR="009D790C" w:rsidRDefault="009D790C" w:rsidP="009D790C">
      <w:pPr>
        <w:rPr>
          <w:lang w:val="en-GB"/>
        </w:rPr>
      </w:pPr>
      <w:r>
        <w:rPr>
          <w:lang w:val="en-GB"/>
        </w:rPr>
        <w:t>Under section 106(a) of the FRC Act a community member may ask the Local Registry Coordinato</w:t>
      </w:r>
      <w:r w:rsidR="009228AA">
        <w:rPr>
          <w:lang w:val="en-GB"/>
        </w:rPr>
        <w:t>r</w:t>
      </w:r>
      <w:r>
        <w:rPr>
          <w:lang w:val="en-GB"/>
        </w:rPr>
        <w:t xml:space="preserve"> for a welfare reform community area to refer the person to a community support service.</w:t>
      </w:r>
    </w:p>
    <w:p w14:paraId="71FE0EE1" w14:textId="77777777" w:rsidR="009D790C" w:rsidRPr="005371FE" w:rsidRDefault="009D790C" w:rsidP="009D790C">
      <w:pPr>
        <w:rPr>
          <w:lang w:val="en-GB"/>
        </w:rPr>
      </w:pPr>
      <w:r>
        <w:rPr>
          <w:lang w:val="en-GB"/>
        </w:rPr>
        <w:t>T</w:t>
      </w:r>
      <w:r w:rsidRPr="005371FE">
        <w:rPr>
          <w:lang w:val="en-GB"/>
        </w:rPr>
        <w:t xml:space="preserve">he </w:t>
      </w:r>
      <w:r>
        <w:rPr>
          <w:lang w:val="en-GB"/>
        </w:rPr>
        <w:t xml:space="preserve">FRC has seen an </w:t>
      </w:r>
      <w:r w:rsidRPr="008E6D22">
        <w:rPr>
          <w:lang w:val="en-GB"/>
        </w:rPr>
        <w:t>increase of 71 percent</w:t>
      </w:r>
      <w:r>
        <w:rPr>
          <w:lang w:val="en-GB"/>
        </w:rPr>
        <w:t xml:space="preserve"> in the number of referrals under a voluntary case plan from 2020-21. This is indicative of the broader acceptance by community members to undertake personal responsibility.</w:t>
      </w:r>
    </w:p>
    <w:p w14:paraId="3A8DD12A" w14:textId="77777777" w:rsidR="009D790C" w:rsidRDefault="009D790C" w:rsidP="009D790C">
      <w:pPr>
        <w:spacing w:after="160" w:line="259" w:lineRule="auto"/>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992"/>
        <w:gridCol w:w="992"/>
        <w:gridCol w:w="992"/>
      </w:tblGrid>
      <w:tr w:rsidR="009D790C" w:rsidRPr="005371FE" w14:paraId="027D5CF2" w14:textId="77777777" w:rsidTr="00926567">
        <w:trPr>
          <w:trHeight w:val="300"/>
        </w:trPr>
        <w:tc>
          <w:tcPr>
            <w:tcW w:w="5529" w:type="dxa"/>
            <w:shd w:val="clear" w:color="auto" w:fill="808080" w:themeFill="background1" w:themeFillShade="80"/>
            <w:vAlign w:val="center"/>
          </w:tcPr>
          <w:p w14:paraId="6D9E110C" w14:textId="77777777" w:rsidR="009D790C" w:rsidRPr="005371FE" w:rsidRDefault="009D790C" w:rsidP="00926567">
            <w:pPr>
              <w:spacing w:before="60" w:after="60"/>
              <w:rPr>
                <w:b/>
                <w:bCs/>
                <w:color w:val="FFFFFF" w:themeColor="background1"/>
              </w:rPr>
            </w:pPr>
            <w:r w:rsidRPr="005371FE">
              <w:rPr>
                <w:b/>
                <w:bCs/>
                <w:color w:val="FFFFFF" w:themeColor="background1"/>
              </w:rPr>
              <w:t xml:space="preserve">Number of referrals from </w:t>
            </w:r>
            <w:r>
              <w:rPr>
                <w:b/>
                <w:bCs/>
                <w:color w:val="FFFFFF" w:themeColor="background1"/>
              </w:rPr>
              <w:t>voluntary case plans</w:t>
            </w:r>
          </w:p>
        </w:tc>
        <w:tc>
          <w:tcPr>
            <w:tcW w:w="992" w:type="dxa"/>
            <w:shd w:val="clear" w:color="auto" w:fill="808080" w:themeFill="background1" w:themeFillShade="80"/>
          </w:tcPr>
          <w:p w14:paraId="6400DC90" w14:textId="77777777" w:rsidR="009D790C" w:rsidRPr="005371FE" w:rsidRDefault="009D790C" w:rsidP="00926567">
            <w:pPr>
              <w:spacing w:before="60" w:after="60"/>
              <w:jc w:val="center"/>
              <w:rPr>
                <w:b/>
                <w:bCs/>
                <w:color w:val="FFFFFF" w:themeColor="background1"/>
              </w:rPr>
            </w:pPr>
            <w:r w:rsidRPr="005371FE">
              <w:rPr>
                <w:b/>
                <w:bCs/>
                <w:color w:val="FFFFFF" w:themeColor="background1"/>
              </w:rPr>
              <w:t>2019-20</w:t>
            </w:r>
          </w:p>
        </w:tc>
        <w:tc>
          <w:tcPr>
            <w:tcW w:w="992" w:type="dxa"/>
            <w:shd w:val="clear" w:color="auto" w:fill="808080" w:themeFill="background1" w:themeFillShade="80"/>
            <w:vAlign w:val="center"/>
          </w:tcPr>
          <w:p w14:paraId="101A6D09" w14:textId="77777777" w:rsidR="009D790C" w:rsidRPr="005371FE" w:rsidRDefault="009D790C" w:rsidP="00926567">
            <w:pPr>
              <w:spacing w:before="60" w:after="60"/>
              <w:jc w:val="center"/>
              <w:rPr>
                <w:b/>
                <w:bCs/>
                <w:color w:val="FFFFFF" w:themeColor="background1"/>
              </w:rPr>
            </w:pPr>
            <w:r w:rsidRPr="005371FE">
              <w:rPr>
                <w:b/>
                <w:bCs/>
                <w:color w:val="FFFFFF" w:themeColor="background1"/>
              </w:rPr>
              <w:t>2020-21</w:t>
            </w:r>
          </w:p>
        </w:tc>
        <w:tc>
          <w:tcPr>
            <w:tcW w:w="992" w:type="dxa"/>
            <w:shd w:val="clear" w:color="auto" w:fill="808080" w:themeFill="background1" w:themeFillShade="80"/>
            <w:vAlign w:val="center"/>
          </w:tcPr>
          <w:p w14:paraId="60D5BB3F" w14:textId="77777777" w:rsidR="009D790C" w:rsidRPr="005371FE" w:rsidRDefault="009D790C" w:rsidP="00926567">
            <w:pPr>
              <w:spacing w:before="60" w:after="60"/>
              <w:jc w:val="center"/>
              <w:rPr>
                <w:b/>
                <w:bCs/>
                <w:color w:val="FFFFFF" w:themeColor="background1"/>
              </w:rPr>
            </w:pPr>
            <w:r w:rsidRPr="005371FE">
              <w:rPr>
                <w:b/>
                <w:bCs/>
                <w:color w:val="FFFFFF" w:themeColor="background1"/>
              </w:rPr>
              <w:t>202</w:t>
            </w:r>
            <w:r>
              <w:rPr>
                <w:b/>
                <w:bCs/>
                <w:color w:val="FFFFFF" w:themeColor="background1"/>
              </w:rPr>
              <w:t>1</w:t>
            </w:r>
            <w:r w:rsidRPr="005371FE">
              <w:rPr>
                <w:b/>
                <w:bCs/>
                <w:color w:val="FFFFFF" w:themeColor="background1"/>
              </w:rPr>
              <w:t>-2</w:t>
            </w:r>
            <w:r>
              <w:rPr>
                <w:b/>
                <w:bCs/>
                <w:color w:val="FFFFFF" w:themeColor="background1"/>
              </w:rPr>
              <w:t>2</w:t>
            </w:r>
          </w:p>
        </w:tc>
      </w:tr>
      <w:tr w:rsidR="009D790C" w:rsidRPr="005371FE" w14:paraId="424AD0A9" w14:textId="77777777" w:rsidTr="00926567">
        <w:trPr>
          <w:trHeight w:val="300"/>
        </w:trPr>
        <w:tc>
          <w:tcPr>
            <w:tcW w:w="5529" w:type="dxa"/>
            <w:shd w:val="clear" w:color="auto" w:fill="auto"/>
            <w:vAlign w:val="center"/>
          </w:tcPr>
          <w:p w14:paraId="1E636976" w14:textId="3C79DF4B" w:rsidR="009D790C" w:rsidRPr="005371FE" w:rsidRDefault="0039542C" w:rsidP="00926567">
            <w:pPr>
              <w:spacing w:before="60" w:after="60"/>
            </w:pPr>
            <w:r>
              <w:t>Voluntary r</w:t>
            </w:r>
            <w:r w:rsidR="009D790C" w:rsidRPr="005371FE">
              <w:t>eferrals to service providers</w:t>
            </w:r>
            <w:r w:rsidR="009D790C" w:rsidRPr="005371FE">
              <w:rPr>
                <w:vertAlign w:val="superscript"/>
              </w:rPr>
              <w:footnoteReference w:id="6"/>
            </w:r>
          </w:p>
        </w:tc>
        <w:tc>
          <w:tcPr>
            <w:tcW w:w="992" w:type="dxa"/>
          </w:tcPr>
          <w:p w14:paraId="66D19A86" w14:textId="77777777" w:rsidR="009D790C" w:rsidRPr="008E6D22" w:rsidRDefault="009D790C" w:rsidP="00926567">
            <w:pPr>
              <w:spacing w:before="60" w:after="60"/>
              <w:jc w:val="right"/>
            </w:pPr>
            <w:r w:rsidRPr="008E6D22">
              <w:t>0</w:t>
            </w:r>
          </w:p>
        </w:tc>
        <w:tc>
          <w:tcPr>
            <w:tcW w:w="992" w:type="dxa"/>
            <w:shd w:val="clear" w:color="auto" w:fill="auto"/>
            <w:vAlign w:val="center"/>
          </w:tcPr>
          <w:p w14:paraId="1222028A" w14:textId="77777777" w:rsidR="009D790C" w:rsidRPr="008E6D22" w:rsidRDefault="009D790C" w:rsidP="00926567">
            <w:pPr>
              <w:spacing w:before="60" w:after="60"/>
              <w:jc w:val="right"/>
            </w:pPr>
            <w:r w:rsidRPr="008E6D22">
              <w:t>14</w:t>
            </w:r>
          </w:p>
        </w:tc>
        <w:tc>
          <w:tcPr>
            <w:tcW w:w="992" w:type="dxa"/>
            <w:shd w:val="clear" w:color="auto" w:fill="auto"/>
            <w:vAlign w:val="center"/>
          </w:tcPr>
          <w:p w14:paraId="3DC82546" w14:textId="77777777" w:rsidR="009D790C" w:rsidRPr="008E6D22" w:rsidRDefault="009D790C" w:rsidP="00926567">
            <w:pPr>
              <w:spacing w:before="60" w:after="60"/>
              <w:jc w:val="right"/>
            </w:pPr>
            <w:r w:rsidRPr="008E6D22">
              <w:t>24</w:t>
            </w:r>
          </w:p>
        </w:tc>
      </w:tr>
    </w:tbl>
    <w:p w14:paraId="4B33C241" w14:textId="77777777" w:rsidR="009D790C" w:rsidRDefault="009D790C" w:rsidP="009D790C">
      <w:pPr>
        <w:spacing w:after="160" w:line="259" w:lineRule="auto"/>
      </w:pPr>
    </w:p>
    <w:p w14:paraId="1BB00FCE" w14:textId="77777777" w:rsidR="009D790C" w:rsidRPr="005371FE" w:rsidRDefault="009D790C" w:rsidP="009D790C">
      <w:pPr>
        <w:pStyle w:val="Heading3"/>
      </w:pPr>
      <w:r w:rsidRPr="005371FE">
        <w:t>Conditional income management – a nuanced approach of ‘last resort’</w:t>
      </w:r>
    </w:p>
    <w:p w14:paraId="4C5B23A8" w14:textId="33C7824C" w:rsidR="009D790C" w:rsidRPr="005371FE" w:rsidRDefault="009D790C" w:rsidP="009D790C">
      <w:r w:rsidRPr="005371FE">
        <w:t>At conference, a decision may be made to issue a client with a CIM order. Due consideration is given to the individual circumstances of the client and whether alternative action is more appropriate. CIM orders are considered as a last resort, with Commissioners endeavouring to enter into a</w:t>
      </w:r>
      <w:r w:rsidR="0053217F">
        <w:t>n</w:t>
      </w:r>
      <w:r w:rsidRPr="005371FE">
        <w:t xml:space="preserve"> FRA with the client agreeing to CIM in the first instance.</w:t>
      </w:r>
    </w:p>
    <w:p w14:paraId="5F73CB5B" w14:textId="35F2A63C" w:rsidR="009D790C" w:rsidRPr="005371FE" w:rsidRDefault="009D790C" w:rsidP="009D790C">
      <w:r w:rsidRPr="005371FE">
        <w:t xml:space="preserve">Following conference, the Commission is required by the FRC Act to notify the Secretary of the Department of Social Services (DSS) with details of the CIM, whereby the community member’s welfare payments are income managed by DSS in accordance with the decision of the Commission and remain subject to FRC’s continued jurisdiction. </w:t>
      </w:r>
      <w:r>
        <w:t>T</w:t>
      </w:r>
      <w:r w:rsidRPr="005371FE">
        <w:t xml:space="preserve">he Cashless Debit Card (CDC) is issued to the community member by Services Australia to reflect the Commission’s CIM </w:t>
      </w:r>
      <w:r>
        <w:t xml:space="preserve">under an </w:t>
      </w:r>
      <w:r w:rsidRPr="005371FE">
        <w:t>order</w:t>
      </w:r>
      <w:r>
        <w:t xml:space="preserve"> or agreement</w:t>
      </w:r>
      <w:r w:rsidRPr="005371FE">
        <w:t>.</w:t>
      </w:r>
    </w:p>
    <w:p w14:paraId="08504411" w14:textId="77777777" w:rsidR="009949F2" w:rsidRDefault="009949F2">
      <w:pPr>
        <w:spacing w:after="160" w:line="259" w:lineRule="auto"/>
      </w:pPr>
      <w:r>
        <w:br w:type="page"/>
      </w:r>
    </w:p>
    <w:p w14:paraId="784D4E67" w14:textId="38E019F3" w:rsidR="009D790C" w:rsidRPr="008E6D22" w:rsidRDefault="009D790C" w:rsidP="009D790C">
      <w:r w:rsidRPr="005371FE">
        <w:lastRenderedPageBreak/>
        <w:t>The Commissioners utilise CIM as a tool to support people and children at risk, promote socially responsible choices, and as an incentive to meet individual and community obligations by drawing together a network of support services to focus on the individual’s skills gaps (social and economic). CIMs are issued for a defined period (no longer than 12 months) with the Commissioners determining whether 60, 75 or 90 percent of fortnightly welfare payments are managed. Community members may apply to the Commission to have their CIM amended or ended. Commissioners consider each application to ascertain whether the client has made sufficient progress to justify an amend or end decision.</w:t>
      </w:r>
      <w:r>
        <w:t xml:space="preserve"> </w:t>
      </w:r>
      <w:bookmarkStart w:id="4" w:name="_Hlk110861849"/>
      <w:r w:rsidR="00654925" w:rsidRPr="005371FE">
        <w:t xml:space="preserve">Details of the process available to FRC </w:t>
      </w:r>
      <w:r w:rsidR="00654925" w:rsidRPr="008E6D22">
        <w:t>clients, seeking to end or change their income management status are discussed in the relevant section on page 27.</w:t>
      </w:r>
    </w:p>
    <w:p w14:paraId="48C5B848" w14:textId="63393467" w:rsidR="009D790C" w:rsidRPr="008E6D22" w:rsidRDefault="009D790C" w:rsidP="009D790C">
      <w:r w:rsidRPr="008E6D22">
        <w:t>As at 30 June 2022 there were 33 FRC clients subject to a current CIM</w:t>
      </w:r>
      <w:bookmarkEnd w:id="4"/>
      <w:r w:rsidRPr="008E6D22">
        <w:t xml:space="preserve"> who were claiming Centrelink payments for 48 children, of which 39 were of school age.</w:t>
      </w:r>
    </w:p>
    <w:p w14:paraId="643B8D87" w14:textId="53B26C92" w:rsidR="009D790C" w:rsidRDefault="009D790C" w:rsidP="009D790C">
      <w:r w:rsidRPr="008E6D22">
        <w:t>In 2014 a new level of 90 percent CIM was introduced as an option to protect the most vulnerable community members where Commissioners considered it necessary. Data over the last four years shows 90 percent CIM has been used in a declining proportion of income management agreements and orders, with only 1 percent of CIMs issued at 90% for 2021-22, confirming the nuanced approach of last resort.</w:t>
      </w:r>
    </w:p>
    <w:p w14:paraId="61DF2C8C" w14:textId="7EFC0243" w:rsidR="00FC50E1" w:rsidRDefault="00FC50E1" w:rsidP="009D790C">
      <w:r w:rsidRPr="00FC50E1">
        <w:rPr>
          <w:noProof/>
        </w:rPr>
        <w:drawing>
          <wp:anchor distT="0" distB="0" distL="114300" distR="114300" simplePos="0" relativeHeight="251746304" behindDoc="0" locked="0" layoutInCell="1" allowOverlap="1" wp14:anchorId="56BEA4F3" wp14:editId="66854DEC">
            <wp:simplePos x="0" y="0"/>
            <wp:positionH relativeFrom="margin">
              <wp:align>right</wp:align>
            </wp:positionH>
            <wp:positionV relativeFrom="paragraph">
              <wp:posOffset>169545</wp:posOffset>
            </wp:positionV>
            <wp:extent cx="5400040" cy="329501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40" cy="3295015"/>
                    </a:xfrm>
                    <a:prstGeom prst="rect">
                      <a:avLst/>
                    </a:prstGeom>
                    <a:noFill/>
                    <a:ln>
                      <a:noFill/>
                    </a:ln>
                  </pic:spPr>
                </pic:pic>
              </a:graphicData>
            </a:graphic>
          </wp:anchor>
        </w:drawing>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808080" w:themeFill="background1" w:themeFillShade="80"/>
        <w:tblLook w:val="04A0" w:firstRow="1" w:lastRow="0" w:firstColumn="1" w:lastColumn="0" w:noHBand="0" w:noVBand="1"/>
      </w:tblPr>
      <w:tblGrid>
        <w:gridCol w:w="8494"/>
      </w:tblGrid>
      <w:tr w:rsidR="00980452" w14:paraId="464667D4" w14:textId="77777777" w:rsidTr="004D3663">
        <w:trPr>
          <w:trHeight w:val="454"/>
        </w:trPr>
        <w:tc>
          <w:tcPr>
            <w:tcW w:w="8494" w:type="dxa"/>
            <w:shd w:val="clear" w:color="auto" w:fill="808080" w:themeFill="background1" w:themeFillShade="80"/>
          </w:tcPr>
          <w:p w14:paraId="0A53A750" w14:textId="0E95D004" w:rsidR="00980452" w:rsidRPr="00980452" w:rsidRDefault="00980452" w:rsidP="00980452">
            <w:pPr>
              <w:spacing w:before="60" w:after="60"/>
              <w:rPr>
                <w:rFonts w:cs="Arial"/>
                <w:b/>
                <w:bCs/>
                <w:color w:val="FFFFFF" w:themeColor="background1"/>
                <w:sz w:val="17"/>
                <w:szCs w:val="17"/>
              </w:rPr>
            </w:pPr>
            <w:r w:rsidRPr="00980452">
              <w:rPr>
                <w:rFonts w:cs="Arial"/>
                <w:b/>
                <w:bCs/>
                <w:color w:val="FFFFFF" w:themeColor="background1"/>
                <w:sz w:val="17"/>
                <w:szCs w:val="17"/>
              </w:rPr>
              <w:t>Graph 2: Percentage of CIM level</w:t>
            </w:r>
            <w:r w:rsidR="0003494B">
              <w:rPr>
                <w:rFonts w:cs="Arial"/>
                <w:b/>
                <w:bCs/>
                <w:color w:val="FFFFFF" w:themeColor="background1"/>
                <w:sz w:val="17"/>
                <w:szCs w:val="17"/>
              </w:rPr>
              <w:t>s</w:t>
            </w:r>
            <w:r w:rsidRPr="00980452">
              <w:rPr>
                <w:rFonts w:cs="Arial"/>
                <w:b/>
                <w:bCs/>
                <w:color w:val="FFFFFF" w:themeColor="background1"/>
                <w:sz w:val="17"/>
                <w:szCs w:val="17"/>
              </w:rPr>
              <w:t xml:space="preserve"> by financial year 1 July 2008 to 30 June 2022</w:t>
            </w:r>
          </w:p>
        </w:tc>
      </w:tr>
    </w:tbl>
    <w:p w14:paraId="5A0CC245" w14:textId="77777777" w:rsidR="00980452" w:rsidRPr="00980452" w:rsidRDefault="00980452" w:rsidP="009D790C"/>
    <w:p w14:paraId="36CD7027" w14:textId="77777777" w:rsidR="009949F2" w:rsidRPr="009949F2" w:rsidRDefault="009949F2" w:rsidP="009949F2">
      <w:r w:rsidRPr="009949F2">
        <w:br w:type="page"/>
      </w:r>
    </w:p>
    <w:p w14:paraId="6F242F07" w14:textId="0A4FE9EA" w:rsidR="009D790C" w:rsidRDefault="009D790C" w:rsidP="00F07EFD">
      <w:pPr>
        <w:pStyle w:val="Heading5"/>
      </w:pPr>
      <w:r>
        <w:lastRenderedPageBreak/>
        <w:t>Conditional income management and conditional case plans</w:t>
      </w:r>
    </w:p>
    <w:p w14:paraId="5A2CFF3A" w14:textId="77777777" w:rsidR="009D790C" w:rsidRDefault="009D790C" w:rsidP="009D790C">
      <w:r>
        <w:t>Conditional income management alone does not reduce welfare dependency and cannot be expected to rectify the multiple and complex issues of poverty, disempowerment, addiction, child abuse and neglect, violence and offending. The graduated range of FRC decisions provides a system of local authority through which FRC clients can be appropriately encouraged to take up responsibility and access the supports needed to build the capabilities required to break the cycle of disadvantage.</w:t>
      </w:r>
    </w:p>
    <w:p w14:paraId="0B482C44" w14:textId="75997343" w:rsidR="009D790C" w:rsidRDefault="009D790C" w:rsidP="009D790C">
      <w:pPr>
        <w:spacing w:after="160" w:line="259" w:lineRule="auto"/>
      </w:pPr>
      <w:r w:rsidRPr="005371FE">
        <w:t>As</w:t>
      </w:r>
      <w:r>
        <w:t xml:space="preserve"> demonstrated </w:t>
      </w:r>
      <w:r w:rsidRPr="005371FE">
        <w:t>in the</w:t>
      </w:r>
      <w:r>
        <w:t xml:space="preserve"> following</w:t>
      </w:r>
      <w:r w:rsidRPr="005371FE">
        <w:t xml:space="preserve"> table,</w:t>
      </w:r>
      <w:r>
        <w:t xml:space="preserve"> during this reporting period </w:t>
      </w:r>
      <w:r w:rsidRPr="005371FE">
        <w:t>the</w:t>
      </w:r>
      <w:r>
        <w:t>re has been a continuing reduction in the number of clients placed on a CIM without a conditional case plan</w:t>
      </w:r>
      <w:r w:rsidR="00E873FE">
        <w:t xml:space="preserve"> (CCP)</w:t>
      </w:r>
      <w:r>
        <w:t>. This reduction</w:t>
      </w:r>
      <w:r w:rsidRPr="005371FE">
        <w:t xml:space="preserve"> demonstrat</w:t>
      </w:r>
      <w:r>
        <w:t>es</w:t>
      </w:r>
      <w:r w:rsidRPr="005371FE">
        <w:t xml:space="preserve"> that CIM is delivered with a highly targeted approach </w:t>
      </w:r>
      <w:r>
        <w:t>linking in support services to support the client’s needs</w:t>
      </w:r>
      <w:r w:rsidRPr="005371FE">
        <w:t>.</w:t>
      </w:r>
    </w:p>
    <w:p w14:paraId="6AD6D829" w14:textId="204ED55E" w:rsidR="0094661F" w:rsidRDefault="0094661F">
      <w:pPr>
        <w:spacing w:after="160" w:line="259" w:lineRule="auto"/>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992"/>
        <w:gridCol w:w="992"/>
        <w:gridCol w:w="992"/>
      </w:tblGrid>
      <w:tr w:rsidR="009D790C" w:rsidRPr="005371FE" w14:paraId="60C3608B" w14:textId="77777777" w:rsidTr="00926567">
        <w:trPr>
          <w:trHeight w:val="300"/>
        </w:trPr>
        <w:tc>
          <w:tcPr>
            <w:tcW w:w="5529" w:type="dxa"/>
            <w:shd w:val="clear" w:color="auto" w:fill="808080" w:themeFill="background1" w:themeFillShade="80"/>
            <w:vAlign w:val="center"/>
          </w:tcPr>
          <w:p w14:paraId="4F2F8438" w14:textId="7D49687D" w:rsidR="009D790C" w:rsidRPr="005371FE" w:rsidRDefault="009D790C" w:rsidP="00926567">
            <w:pPr>
              <w:spacing w:before="60" w:after="60"/>
              <w:rPr>
                <w:b/>
                <w:bCs/>
                <w:color w:val="FFFFFF" w:themeColor="background1"/>
              </w:rPr>
            </w:pPr>
            <w:r w:rsidRPr="005371FE">
              <w:rPr>
                <w:b/>
                <w:bCs/>
                <w:color w:val="FFFFFF" w:themeColor="background1"/>
              </w:rPr>
              <w:t>Clients placed on</w:t>
            </w:r>
            <w:r w:rsidR="00654925">
              <w:rPr>
                <w:b/>
                <w:bCs/>
                <w:color w:val="FFFFFF" w:themeColor="background1"/>
              </w:rPr>
              <w:t xml:space="preserve"> CCPs </w:t>
            </w:r>
            <w:r w:rsidRPr="005371FE">
              <w:rPr>
                <w:b/>
                <w:bCs/>
                <w:color w:val="FFFFFF" w:themeColor="background1"/>
              </w:rPr>
              <w:t>and</w:t>
            </w:r>
            <w:r>
              <w:rPr>
                <w:b/>
                <w:bCs/>
                <w:color w:val="FFFFFF" w:themeColor="background1"/>
              </w:rPr>
              <w:t>/or</w:t>
            </w:r>
            <w:r w:rsidRPr="005371FE">
              <w:rPr>
                <w:b/>
                <w:bCs/>
                <w:color w:val="FFFFFF" w:themeColor="background1"/>
              </w:rPr>
              <w:t xml:space="preserve"> CIMs</w:t>
            </w:r>
          </w:p>
        </w:tc>
        <w:tc>
          <w:tcPr>
            <w:tcW w:w="992" w:type="dxa"/>
            <w:shd w:val="clear" w:color="auto" w:fill="808080" w:themeFill="background1" w:themeFillShade="80"/>
          </w:tcPr>
          <w:p w14:paraId="6CF044C3" w14:textId="77777777" w:rsidR="009D790C" w:rsidRPr="005371FE" w:rsidRDefault="009D790C" w:rsidP="00926567">
            <w:pPr>
              <w:spacing w:before="60" w:after="60"/>
              <w:jc w:val="center"/>
              <w:rPr>
                <w:b/>
                <w:bCs/>
                <w:color w:val="FFFFFF" w:themeColor="background1"/>
              </w:rPr>
            </w:pPr>
            <w:r>
              <w:rPr>
                <w:b/>
                <w:bCs/>
                <w:color w:val="FFFFFF" w:themeColor="background1"/>
              </w:rPr>
              <w:t>2019-20</w:t>
            </w:r>
          </w:p>
        </w:tc>
        <w:tc>
          <w:tcPr>
            <w:tcW w:w="992" w:type="dxa"/>
            <w:shd w:val="clear" w:color="auto" w:fill="808080" w:themeFill="background1" w:themeFillShade="80"/>
            <w:vAlign w:val="center"/>
          </w:tcPr>
          <w:p w14:paraId="588AE6AC" w14:textId="77777777" w:rsidR="009D790C" w:rsidRPr="005371FE" w:rsidRDefault="009D790C" w:rsidP="00926567">
            <w:pPr>
              <w:spacing w:before="60" w:after="60"/>
              <w:jc w:val="center"/>
              <w:rPr>
                <w:b/>
                <w:bCs/>
                <w:color w:val="FFFFFF" w:themeColor="background1"/>
              </w:rPr>
            </w:pPr>
            <w:r w:rsidRPr="005371FE">
              <w:rPr>
                <w:b/>
                <w:bCs/>
                <w:color w:val="FFFFFF" w:themeColor="background1"/>
              </w:rPr>
              <w:t>2020-21</w:t>
            </w:r>
          </w:p>
        </w:tc>
        <w:tc>
          <w:tcPr>
            <w:tcW w:w="992" w:type="dxa"/>
            <w:shd w:val="clear" w:color="auto" w:fill="808080" w:themeFill="background1" w:themeFillShade="80"/>
            <w:vAlign w:val="center"/>
          </w:tcPr>
          <w:p w14:paraId="63C03BCF" w14:textId="77777777" w:rsidR="009D790C" w:rsidRPr="005371FE" w:rsidRDefault="009D790C" w:rsidP="00926567">
            <w:pPr>
              <w:spacing w:before="60" w:after="60"/>
              <w:jc w:val="center"/>
              <w:rPr>
                <w:b/>
                <w:bCs/>
                <w:color w:val="FFFFFF" w:themeColor="background1"/>
              </w:rPr>
            </w:pPr>
            <w:r w:rsidRPr="005371FE">
              <w:rPr>
                <w:b/>
                <w:bCs/>
                <w:color w:val="FFFFFF" w:themeColor="background1"/>
              </w:rPr>
              <w:t>202</w:t>
            </w:r>
            <w:r>
              <w:rPr>
                <w:b/>
                <w:bCs/>
                <w:color w:val="FFFFFF" w:themeColor="background1"/>
              </w:rPr>
              <w:t>1</w:t>
            </w:r>
            <w:r w:rsidRPr="005371FE">
              <w:rPr>
                <w:b/>
                <w:bCs/>
                <w:color w:val="FFFFFF" w:themeColor="background1"/>
              </w:rPr>
              <w:t>-2</w:t>
            </w:r>
            <w:r>
              <w:rPr>
                <w:b/>
                <w:bCs/>
                <w:color w:val="FFFFFF" w:themeColor="background1"/>
              </w:rPr>
              <w:t>2</w:t>
            </w:r>
          </w:p>
        </w:tc>
      </w:tr>
      <w:tr w:rsidR="009D790C" w:rsidRPr="005371FE" w14:paraId="4EF11A27" w14:textId="77777777" w:rsidTr="00926567">
        <w:trPr>
          <w:trHeight w:val="300"/>
        </w:trPr>
        <w:tc>
          <w:tcPr>
            <w:tcW w:w="5529" w:type="dxa"/>
            <w:shd w:val="clear" w:color="auto" w:fill="auto"/>
            <w:vAlign w:val="center"/>
          </w:tcPr>
          <w:p w14:paraId="425BA75D" w14:textId="0B7397F8" w:rsidR="009D790C" w:rsidRPr="005371FE" w:rsidRDefault="009D790C" w:rsidP="00926567">
            <w:pPr>
              <w:spacing w:before="60" w:after="60"/>
            </w:pPr>
            <w:r w:rsidRPr="005371FE">
              <w:t xml:space="preserve">Number of clients placed on a </w:t>
            </w:r>
            <w:r w:rsidRPr="005371FE">
              <w:rPr>
                <w:b/>
                <w:bCs/>
              </w:rPr>
              <w:t xml:space="preserve">CIM </w:t>
            </w:r>
            <w:r w:rsidRPr="005371FE">
              <w:rPr>
                <w:b/>
                <w:bCs/>
                <w:u w:val="single"/>
              </w:rPr>
              <w:t xml:space="preserve">without a </w:t>
            </w:r>
            <w:r w:rsidR="00F33727">
              <w:rPr>
                <w:b/>
                <w:bCs/>
                <w:u w:val="single"/>
              </w:rPr>
              <w:t>CCP</w:t>
            </w:r>
          </w:p>
        </w:tc>
        <w:tc>
          <w:tcPr>
            <w:tcW w:w="992" w:type="dxa"/>
            <w:vAlign w:val="center"/>
          </w:tcPr>
          <w:p w14:paraId="51305FB8" w14:textId="77777777" w:rsidR="009D790C" w:rsidRPr="008E6D22" w:rsidRDefault="009D790C" w:rsidP="00926567">
            <w:pPr>
              <w:spacing w:before="60" w:after="60"/>
              <w:jc w:val="right"/>
            </w:pPr>
            <w:r w:rsidRPr="008E6D22">
              <w:t>53</w:t>
            </w:r>
          </w:p>
        </w:tc>
        <w:tc>
          <w:tcPr>
            <w:tcW w:w="992" w:type="dxa"/>
            <w:shd w:val="clear" w:color="auto" w:fill="auto"/>
            <w:vAlign w:val="center"/>
          </w:tcPr>
          <w:p w14:paraId="47D4F3E1" w14:textId="77777777" w:rsidR="009D790C" w:rsidRPr="008E6D22" w:rsidRDefault="009D790C" w:rsidP="00926567">
            <w:pPr>
              <w:spacing w:before="60" w:after="60"/>
              <w:jc w:val="right"/>
            </w:pPr>
            <w:r w:rsidRPr="008E6D22">
              <w:t>35</w:t>
            </w:r>
          </w:p>
        </w:tc>
        <w:tc>
          <w:tcPr>
            <w:tcW w:w="992" w:type="dxa"/>
            <w:shd w:val="clear" w:color="auto" w:fill="auto"/>
            <w:vAlign w:val="center"/>
          </w:tcPr>
          <w:p w14:paraId="4F9CD701" w14:textId="77777777" w:rsidR="009D790C" w:rsidRPr="008E6D22" w:rsidRDefault="009D790C" w:rsidP="00926567">
            <w:pPr>
              <w:spacing w:before="60" w:after="60"/>
              <w:jc w:val="right"/>
            </w:pPr>
            <w:r w:rsidRPr="008E6D22">
              <w:t>26</w:t>
            </w:r>
          </w:p>
        </w:tc>
      </w:tr>
      <w:tr w:rsidR="009D790C" w:rsidRPr="005371FE" w14:paraId="3E4CAB88" w14:textId="77777777" w:rsidTr="00926567">
        <w:trPr>
          <w:trHeight w:val="300"/>
        </w:trPr>
        <w:tc>
          <w:tcPr>
            <w:tcW w:w="5529" w:type="dxa"/>
            <w:shd w:val="clear" w:color="auto" w:fill="auto"/>
            <w:vAlign w:val="center"/>
          </w:tcPr>
          <w:p w14:paraId="12852D60" w14:textId="637AE5FB" w:rsidR="009D790C" w:rsidRPr="005371FE" w:rsidRDefault="009D790C" w:rsidP="00926567">
            <w:pPr>
              <w:spacing w:before="60" w:after="60"/>
            </w:pPr>
            <w:r w:rsidRPr="005371FE">
              <w:t xml:space="preserve">Number of clients placed on a </w:t>
            </w:r>
            <w:r w:rsidR="00F33727">
              <w:rPr>
                <w:b/>
                <w:bCs/>
              </w:rPr>
              <w:t>CCP</w:t>
            </w:r>
            <w:r w:rsidRPr="005371FE">
              <w:t xml:space="preserve"> </w:t>
            </w:r>
            <w:r w:rsidRPr="005371FE">
              <w:rPr>
                <w:b/>
                <w:bCs/>
                <w:u w:val="single"/>
              </w:rPr>
              <w:t>without a CIM</w:t>
            </w:r>
          </w:p>
        </w:tc>
        <w:tc>
          <w:tcPr>
            <w:tcW w:w="992" w:type="dxa"/>
            <w:vAlign w:val="center"/>
          </w:tcPr>
          <w:p w14:paraId="1A2A823C" w14:textId="77777777" w:rsidR="009D790C" w:rsidRPr="008E6D22" w:rsidRDefault="009D790C" w:rsidP="00926567">
            <w:pPr>
              <w:spacing w:before="60" w:after="60"/>
              <w:jc w:val="right"/>
            </w:pPr>
            <w:r w:rsidRPr="008E6D22">
              <w:t>174</w:t>
            </w:r>
            <w:r w:rsidRPr="008E6D22">
              <w:rPr>
                <w:rStyle w:val="FootnoteReference"/>
              </w:rPr>
              <w:footnoteReference w:id="7"/>
            </w:r>
          </w:p>
        </w:tc>
        <w:tc>
          <w:tcPr>
            <w:tcW w:w="992" w:type="dxa"/>
            <w:shd w:val="clear" w:color="auto" w:fill="auto"/>
            <w:vAlign w:val="center"/>
          </w:tcPr>
          <w:p w14:paraId="6BD300C6" w14:textId="77777777" w:rsidR="009D790C" w:rsidRPr="008E6D22" w:rsidRDefault="009D790C" w:rsidP="00926567">
            <w:pPr>
              <w:spacing w:before="60" w:after="60"/>
              <w:jc w:val="right"/>
            </w:pPr>
            <w:r w:rsidRPr="008E6D22">
              <w:t>304</w:t>
            </w:r>
            <w:r w:rsidRPr="008E6D22">
              <w:rPr>
                <w:rStyle w:val="FootnoteReference"/>
              </w:rPr>
              <w:footnoteReference w:id="8"/>
            </w:r>
          </w:p>
        </w:tc>
        <w:tc>
          <w:tcPr>
            <w:tcW w:w="992" w:type="dxa"/>
            <w:shd w:val="clear" w:color="auto" w:fill="auto"/>
            <w:vAlign w:val="center"/>
          </w:tcPr>
          <w:p w14:paraId="18D1A8FD" w14:textId="77777777" w:rsidR="009D790C" w:rsidRPr="008E6D22" w:rsidRDefault="009D790C" w:rsidP="00926567">
            <w:pPr>
              <w:spacing w:before="60" w:after="60"/>
              <w:jc w:val="right"/>
            </w:pPr>
            <w:r w:rsidRPr="008E6D22">
              <w:t>283</w:t>
            </w:r>
            <w:r w:rsidRPr="008E6D22">
              <w:rPr>
                <w:rStyle w:val="FootnoteReference"/>
              </w:rPr>
              <w:footnoteReference w:id="9"/>
            </w:r>
          </w:p>
        </w:tc>
      </w:tr>
      <w:tr w:rsidR="009D790C" w:rsidRPr="005371FE" w14:paraId="10D6F3CE" w14:textId="77777777" w:rsidTr="00926567">
        <w:trPr>
          <w:trHeight w:val="300"/>
        </w:trPr>
        <w:tc>
          <w:tcPr>
            <w:tcW w:w="5529" w:type="dxa"/>
            <w:shd w:val="clear" w:color="auto" w:fill="auto"/>
            <w:vAlign w:val="center"/>
          </w:tcPr>
          <w:p w14:paraId="1E5D4E09" w14:textId="65527C9E" w:rsidR="009D790C" w:rsidRPr="005371FE" w:rsidRDefault="009D790C" w:rsidP="00926567">
            <w:pPr>
              <w:spacing w:before="60" w:after="60"/>
            </w:pPr>
            <w:r w:rsidRPr="005371FE">
              <w:t xml:space="preserve">Number of clients placed on a </w:t>
            </w:r>
            <w:r w:rsidR="00F33727">
              <w:rPr>
                <w:b/>
                <w:bCs/>
              </w:rPr>
              <w:t>CCP</w:t>
            </w:r>
            <w:r w:rsidRPr="005371FE">
              <w:rPr>
                <w:b/>
                <w:bCs/>
              </w:rPr>
              <w:t xml:space="preserve"> </w:t>
            </w:r>
            <w:r w:rsidRPr="005371FE">
              <w:rPr>
                <w:b/>
                <w:bCs/>
                <w:u w:val="single"/>
              </w:rPr>
              <w:t>and CIM</w:t>
            </w:r>
          </w:p>
        </w:tc>
        <w:tc>
          <w:tcPr>
            <w:tcW w:w="992" w:type="dxa"/>
            <w:vAlign w:val="center"/>
          </w:tcPr>
          <w:p w14:paraId="7C8769A3" w14:textId="77777777" w:rsidR="009D790C" w:rsidRPr="008E6D22" w:rsidRDefault="009D790C" w:rsidP="00926567">
            <w:pPr>
              <w:spacing w:before="60" w:after="60"/>
              <w:jc w:val="right"/>
            </w:pPr>
            <w:r w:rsidRPr="008E6D22">
              <w:t>112</w:t>
            </w:r>
          </w:p>
        </w:tc>
        <w:tc>
          <w:tcPr>
            <w:tcW w:w="992" w:type="dxa"/>
            <w:shd w:val="clear" w:color="auto" w:fill="auto"/>
            <w:vAlign w:val="center"/>
          </w:tcPr>
          <w:p w14:paraId="71EC7F28" w14:textId="77777777" w:rsidR="009D790C" w:rsidRPr="008E6D22" w:rsidRDefault="009D790C" w:rsidP="00926567">
            <w:pPr>
              <w:spacing w:before="60" w:after="60"/>
              <w:jc w:val="right"/>
            </w:pPr>
            <w:r w:rsidRPr="008E6D22">
              <w:t>55</w:t>
            </w:r>
          </w:p>
        </w:tc>
        <w:tc>
          <w:tcPr>
            <w:tcW w:w="992" w:type="dxa"/>
            <w:shd w:val="clear" w:color="auto" w:fill="auto"/>
            <w:vAlign w:val="center"/>
          </w:tcPr>
          <w:p w14:paraId="18D725EF" w14:textId="77777777" w:rsidR="009D790C" w:rsidRPr="008E6D22" w:rsidRDefault="009D790C" w:rsidP="00926567">
            <w:pPr>
              <w:spacing w:before="60" w:after="60"/>
              <w:jc w:val="right"/>
            </w:pPr>
            <w:r w:rsidRPr="008E6D22">
              <w:t>63</w:t>
            </w:r>
          </w:p>
        </w:tc>
      </w:tr>
    </w:tbl>
    <w:p w14:paraId="2153DF3C" w14:textId="77777777" w:rsidR="009D790C" w:rsidRDefault="009D790C" w:rsidP="009D790C"/>
    <w:p w14:paraId="29A7B985" w14:textId="77777777" w:rsidR="009D790C" w:rsidRPr="005371FE" w:rsidRDefault="009D790C" w:rsidP="009D790C">
      <w:pPr>
        <w:pStyle w:val="Heading3"/>
      </w:pPr>
      <w:r w:rsidRPr="005371FE">
        <w:t>Voluntary income management – a ‘right fit for many’ who self-refer</w:t>
      </w:r>
    </w:p>
    <w:p w14:paraId="2284EA0D" w14:textId="049EE4CE" w:rsidR="009D790C" w:rsidRDefault="009D790C" w:rsidP="009D790C">
      <w:r w:rsidRPr="005371FE">
        <w:t xml:space="preserve">The FRC Act sets out a process under which a community member can voluntarily seek help from the Commission for a referral to a community support service </w:t>
      </w:r>
      <w:r w:rsidR="00E873FE">
        <w:t xml:space="preserve">under a </w:t>
      </w:r>
      <w:r w:rsidRPr="005371FE">
        <w:t>voluntary case plan</w:t>
      </w:r>
      <w:r w:rsidR="00E873FE">
        <w:t xml:space="preserve"> (VCP</w:t>
      </w:r>
      <w:r w:rsidRPr="005371FE">
        <w:t>) or be subject to VIM. In these circumstances the Commission has not received notification from a relevant government agency alleging certain behaviours, and the community member would not otherwise be mandated to attend conference and be the subject of an FRC decision.</w:t>
      </w:r>
    </w:p>
    <w:p w14:paraId="6013BA2E" w14:textId="1549D7C1" w:rsidR="009D790C" w:rsidRDefault="009D790C" w:rsidP="009D790C">
      <w:r w:rsidRPr="005371FE">
        <w:t>VIM agreements are seen as a useful tool to assist community members to manage their budget and meet the cost of everyday essentials. Elderly community members (who have not otherwise been referred to the FRC) are also volunteering to have a portion of their welfare payments subject to income management to help safeguard</w:t>
      </w:r>
      <w:r w:rsidR="00580D4F">
        <w:t xml:space="preserve"> funds</w:t>
      </w:r>
      <w:r w:rsidRPr="005371FE">
        <w:t xml:space="preserve"> for their own needs, and not be subject to humbugging and/or other elder abuse or violence.</w:t>
      </w:r>
    </w:p>
    <w:p w14:paraId="6FDA5F29" w14:textId="77777777" w:rsidR="009D790C" w:rsidRDefault="009D790C" w:rsidP="009D790C">
      <w:r w:rsidRPr="005371FE">
        <w:t xml:space="preserve">Although the number of clients who have engaged with the FRC on a voluntary basis remains small, it nonetheless </w:t>
      </w:r>
      <w:r>
        <w:t xml:space="preserve">highlights the increase in </w:t>
      </w:r>
      <w:r w:rsidRPr="005371FE">
        <w:t>community members who are exhibiting an increased self-awareness of their personal circumstances and are willing to accept assistance from the Commission at the earliest opportunity.</w:t>
      </w:r>
    </w:p>
    <w:p w14:paraId="5D7A5CE3" w14:textId="77777777" w:rsidR="00F33727" w:rsidRDefault="00F33727">
      <w:pPr>
        <w:spacing w:after="160" w:line="259" w:lineRule="auto"/>
      </w:pPr>
      <w:bookmarkStart w:id="5" w:name="_Hlk113026007"/>
      <w:r>
        <w:br w:type="page"/>
      </w:r>
    </w:p>
    <w:p w14:paraId="278189AE" w14:textId="10B847AA" w:rsidR="009D790C" w:rsidRDefault="009D790C" w:rsidP="009D790C">
      <w:r w:rsidRPr="005371FE">
        <w:lastRenderedPageBreak/>
        <w:t>Following the Australian Government transitioning from the BasicsCard to the CDC</w:t>
      </w:r>
      <w:r w:rsidR="00586175">
        <w:t>,</w:t>
      </w:r>
      <w:r w:rsidRPr="005371FE">
        <w:t xml:space="preserve"> </w:t>
      </w:r>
      <w:bookmarkEnd w:id="5"/>
      <w:r>
        <w:t>during t</w:t>
      </w:r>
      <w:r w:rsidRPr="005371FE">
        <w:t>he 202</w:t>
      </w:r>
      <w:r>
        <w:t>1</w:t>
      </w:r>
      <w:r w:rsidRPr="005371FE">
        <w:t>-2</w:t>
      </w:r>
      <w:r>
        <w:t>2</w:t>
      </w:r>
      <w:r w:rsidRPr="005371FE">
        <w:t xml:space="preserve"> reporting period</w:t>
      </w:r>
      <w:r>
        <w:t xml:space="preserve"> the FRC</w:t>
      </w:r>
      <w:r w:rsidRPr="005371FE">
        <w:t xml:space="preserve"> has seen a </w:t>
      </w:r>
      <w:r>
        <w:t xml:space="preserve">continued </w:t>
      </w:r>
      <w:r w:rsidRPr="005371FE">
        <w:t>growth in the number of community members willing to enter into a VIM agreement.</w:t>
      </w:r>
      <w:bookmarkStart w:id="6" w:name="_Hlk110862099"/>
    </w:p>
    <w:bookmarkEnd w:id="6"/>
    <w:p w14:paraId="2F8B8D56" w14:textId="77777777" w:rsidR="009D790C" w:rsidRPr="005371FE" w:rsidRDefault="009D790C" w:rsidP="009D790C"/>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039"/>
        <w:gridCol w:w="1040"/>
        <w:gridCol w:w="1040"/>
        <w:gridCol w:w="1417"/>
      </w:tblGrid>
      <w:tr w:rsidR="009D790C" w:rsidRPr="005371FE" w14:paraId="7C6897C1" w14:textId="77777777" w:rsidTr="00926567">
        <w:trPr>
          <w:trHeight w:val="300"/>
        </w:trPr>
        <w:tc>
          <w:tcPr>
            <w:tcW w:w="3969" w:type="dxa"/>
            <w:shd w:val="clear" w:color="auto" w:fill="808080" w:themeFill="background1" w:themeFillShade="80"/>
            <w:vAlign w:val="center"/>
          </w:tcPr>
          <w:p w14:paraId="17B9EDC4" w14:textId="6512BCB5" w:rsidR="009D790C" w:rsidRPr="005371FE" w:rsidRDefault="009D790C" w:rsidP="00926567">
            <w:pPr>
              <w:spacing w:before="40" w:after="40"/>
              <w:rPr>
                <w:b/>
                <w:bCs/>
                <w:color w:val="FFFFFF" w:themeColor="background1"/>
              </w:rPr>
            </w:pPr>
            <w:r w:rsidRPr="005371FE">
              <w:rPr>
                <w:b/>
                <w:bCs/>
                <w:color w:val="FFFFFF" w:themeColor="background1"/>
              </w:rPr>
              <w:t xml:space="preserve">Number of voluntary agreements for </w:t>
            </w:r>
            <w:r w:rsidR="00CB38E1">
              <w:rPr>
                <w:b/>
                <w:bCs/>
                <w:color w:val="FFFFFF" w:themeColor="background1"/>
              </w:rPr>
              <w:t>VIM</w:t>
            </w:r>
          </w:p>
        </w:tc>
        <w:tc>
          <w:tcPr>
            <w:tcW w:w="1039" w:type="dxa"/>
            <w:shd w:val="clear" w:color="auto" w:fill="808080" w:themeFill="background1" w:themeFillShade="80"/>
            <w:vAlign w:val="center"/>
          </w:tcPr>
          <w:p w14:paraId="52E343A8" w14:textId="77777777" w:rsidR="009D790C" w:rsidRPr="005371FE" w:rsidRDefault="009D790C" w:rsidP="00926567">
            <w:pPr>
              <w:spacing w:before="40" w:after="40"/>
              <w:jc w:val="center"/>
              <w:rPr>
                <w:b/>
                <w:bCs/>
                <w:color w:val="FFFFFF" w:themeColor="background1"/>
              </w:rPr>
            </w:pPr>
            <w:r>
              <w:rPr>
                <w:b/>
                <w:bCs/>
                <w:color w:val="FFFFFF" w:themeColor="background1"/>
              </w:rPr>
              <w:t>2019-20</w:t>
            </w:r>
          </w:p>
        </w:tc>
        <w:tc>
          <w:tcPr>
            <w:tcW w:w="1040" w:type="dxa"/>
            <w:shd w:val="clear" w:color="auto" w:fill="808080" w:themeFill="background1" w:themeFillShade="80"/>
            <w:vAlign w:val="center"/>
          </w:tcPr>
          <w:p w14:paraId="73A75A7F" w14:textId="77777777" w:rsidR="009D790C" w:rsidRPr="005371FE" w:rsidRDefault="009D790C" w:rsidP="00926567">
            <w:pPr>
              <w:spacing w:before="40" w:after="40"/>
              <w:jc w:val="center"/>
              <w:rPr>
                <w:b/>
                <w:bCs/>
                <w:color w:val="FFFFFF" w:themeColor="background1"/>
              </w:rPr>
            </w:pPr>
            <w:r w:rsidRPr="005371FE">
              <w:rPr>
                <w:b/>
                <w:bCs/>
                <w:color w:val="FFFFFF" w:themeColor="background1"/>
              </w:rPr>
              <w:t>2020-21</w:t>
            </w:r>
          </w:p>
        </w:tc>
        <w:tc>
          <w:tcPr>
            <w:tcW w:w="1040" w:type="dxa"/>
            <w:shd w:val="clear" w:color="auto" w:fill="808080" w:themeFill="background1" w:themeFillShade="80"/>
            <w:vAlign w:val="center"/>
          </w:tcPr>
          <w:p w14:paraId="7647AB80" w14:textId="77777777" w:rsidR="009D790C" w:rsidRPr="005371FE" w:rsidRDefault="009D790C" w:rsidP="00926567">
            <w:pPr>
              <w:spacing w:before="40" w:after="40"/>
              <w:jc w:val="center"/>
              <w:rPr>
                <w:b/>
                <w:bCs/>
                <w:color w:val="FFFFFF" w:themeColor="background1"/>
              </w:rPr>
            </w:pPr>
            <w:r w:rsidRPr="005371FE">
              <w:rPr>
                <w:b/>
                <w:bCs/>
                <w:color w:val="FFFFFF" w:themeColor="background1"/>
              </w:rPr>
              <w:t>202</w:t>
            </w:r>
            <w:r>
              <w:rPr>
                <w:b/>
                <w:bCs/>
                <w:color w:val="FFFFFF" w:themeColor="background1"/>
              </w:rPr>
              <w:t>1</w:t>
            </w:r>
            <w:r w:rsidRPr="005371FE">
              <w:rPr>
                <w:b/>
                <w:bCs/>
                <w:color w:val="FFFFFF" w:themeColor="background1"/>
              </w:rPr>
              <w:t>-2</w:t>
            </w:r>
            <w:r>
              <w:rPr>
                <w:b/>
                <w:bCs/>
                <w:color w:val="FFFFFF" w:themeColor="background1"/>
              </w:rPr>
              <w:t>2</w:t>
            </w:r>
          </w:p>
        </w:tc>
        <w:tc>
          <w:tcPr>
            <w:tcW w:w="1417" w:type="dxa"/>
            <w:shd w:val="clear" w:color="auto" w:fill="808080" w:themeFill="background1" w:themeFillShade="80"/>
            <w:vAlign w:val="center"/>
          </w:tcPr>
          <w:p w14:paraId="368B46F6" w14:textId="77777777" w:rsidR="009D790C" w:rsidRDefault="009D790C" w:rsidP="00926567">
            <w:pPr>
              <w:spacing w:before="40" w:after="40"/>
              <w:jc w:val="center"/>
              <w:rPr>
                <w:b/>
                <w:bCs/>
                <w:color w:val="FFFFFF" w:themeColor="background1"/>
              </w:rPr>
            </w:pPr>
            <w:r w:rsidRPr="005371FE">
              <w:rPr>
                <w:b/>
                <w:bCs/>
                <w:color w:val="FFFFFF" w:themeColor="background1"/>
              </w:rPr>
              <w:t>%</w:t>
            </w:r>
            <w:r>
              <w:rPr>
                <w:b/>
                <w:bCs/>
                <w:color w:val="FFFFFF" w:themeColor="background1"/>
              </w:rPr>
              <w:t xml:space="preserve"> change</w:t>
            </w:r>
          </w:p>
          <w:p w14:paraId="182E0FC8" w14:textId="77777777" w:rsidR="009D790C" w:rsidRDefault="009D790C" w:rsidP="00926567">
            <w:pPr>
              <w:spacing w:before="40" w:after="40"/>
              <w:jc w:val="center"/>
              <w:rPr>
                <w:b/>
                <w:bCs/>
                <w:color w:val="FFFFFF" w:themeColor="background1"/>
              </w:rPr>
            </w:pPr>
            <w:r>
              <w:rPr>
                <w:b/>
                <w:bCs/>
                <w:color w:val="FFFFFF" w:themeColor="background1"/>
              </w:rPr>
              <w:t>2020-21 to</w:t>
            </w:r>
          </w:p>
          <w:p w14:paraId="3A2018EA" w14:textId="77777777" w:rsidR="009D790C" w:rsidRPr="005371FE" w:rsidRDefault="009D790C" w:rsidP="00926567">
            <w:pPr>
              <w:spacing w:before="40" w:after="40"/>
              <w:jc w:val="center"/>
              <w:rPr>
                <w:b/>
                <w:bCs/>
                <w:color w:val="FFFFFF" w:themeColor="background1"/>
              </w:rPr>
            </w:pPr>
            <w:r>
              <w:rPr>
                <w:b/>
                <w:bCs/>
                <w:color w:val="FFFFFF" w:themeColor="background1"/>
              </w:rPr>
              <w:t>2021-22</w:t>
            </w:r>
            <w:r w:rsidRPr="005371FE">
              <w:rPr>
                <w:b/>
                <w:bCs/>
                <w:color w:val="FFFFFF" w:themeColor="background1"/>
              </w:rPr>
              <w:t xml:space="preserve"> </w:t>
            </w:r>
          </w:p>
        </w:tc>
      </w:tr>
      <w:tr w:rsidR="009D790C" w:rsidRPr="005371FE" w14:paraId="425AE5B4" w14:textId="77777777" w:rsidTr="00926567">
        <w:trPr>
          <w:trHeight w:val="300"/>
        </w:trPr>
        <w:tc>
          <w:tcPr>
            <w:tcW w:w="3969" w:type="dxa"/>
            <w:shd w:val="clear" w:color="auto" w:fill="auto"/>
            <w:vAlign w:val="center"/>
          </w:tcPr>
          <w:p w14:paraId="5392C3A5" w14:textId="77777777" w:rsidR="009D790C" w:rsidRPr="005371FE" w:rsidRDefault="009D790C" w:rsidP="00926567">
            <w:pPr>
              <w:spacing w:before="40" w:after="40"/>
            </w:pPr>
            <w:r w:rsidRPr="005371FE">
              <w:t>Voluntary agreements for VIM</w:t>
            </w:r>
          </w:p>
        </w:tc>
        <w:tc>
          <w:tcPr>
            <w:tcW w:w="1039" w:type="dxa"/>
          </w:tcPr>
          <w:p w14:paraId="40686696" w14:textId="77777777" w:rsidR="009D790C" w:rsidRPr="008E6D22" w:rsidRDefault="009D790C" w:rsidP="00926567">
            <w:pPr>
              <w:spacing w:before="40" w:after="40"/>
              <w:jc w:val="right"/>
            </w:pPr>
            <w:r w:rsidRPr="008E6D22">
              <w:t>20</w:t>
            </w:r>
          </w:p>
        </w:tc>
        <w:tc>
          <w:tcPr>
            <w:tcW w:w="1040" w:type="dxa"/>
            <w:shd w:val="clear" w:color="auto" w:fill="auto"/>
            <w:vAlign w:val="center"/>
          </w:tcPr>
          <w:p w14:paraId="00345393" w14:textId="77777777" w:rsidR="009D790C" w:rsidRPr="008E6D22" w:rsidRDefault="009D790C" w:rsidP="00926567">
            <w:pPr>
              <w:spacing w:before="40" w:after="40"/>
              <w:jc w:val="right"/>
            </w:pPr>
            <w:r w:rsidRPr="008E6D22">
              <w:t>94</w:t>
            </w:r>
          </w:p>
        </w:tc>
        <w:tc>
          <w:tcPr>
            <w:tcW w:w="1040" w:type="dxa"/>
            <w:shd w:val="clear" w:color="auto" w:fill="auto"/>
            <w:vAlign w:val="center"/>
          </w:tcPr>
          <w:p w14:paraId="7276E206" w14:textId="77777777" w:rsidR="009D790C" w:rsidRPr="008E6D22" w:rsidRDefault="009D790C" w:rsidP="00926567">
            <w:pPr>
              <w:spacing w:before="40" w:after="40"/>
              <w:jc w:val="right"/>
            </w:pPr>
            <w:r w:rsidRPr="008E6D22">
              <w:t>140</w:t>
            </w:r>
          </w:p>
        </w:tc>
        <w:tc>
          <w:tcPr>
            <w:tcW w:w="1417" w:type="dxa"/>
          </w:tcPr>
          <w:p w14:paraId="55CA0627" w14:textId="77777777" w:rsidR="009D790C" w:rsidRPr="008E6D22" w:rsidRDefault="009D790C" w:rsidP="00926567">
            <w:pPr>
              <w:spacing w:before="40" w:after="40"/>
              <w:jc w:val="right"/>
            </w:pPr>
            <w:r w:rsidRPr="008E6D22">
              <w:t>+49%</w:t>
            </w:r>
          </w:p>
        </w:tc>
      </w:tr>
    </w:tbl>
    <w:p w14:paraId="342AF492" w14:textId="77777777" w:rsidR="009D790C" w:rsidRDefault="009D790C" w:rsidP="009D790C"/>
    <w:p w14:paraId="5542FB0C" w14:textId="0A325AE8" w:rsidR="009D790C" w:rsidRPr="005371FE" w:rsidRDefault="009D790C" w:rsidP="009D790C">
      <w:r w:rsidRPr="008E6D22">
        <w:t xml:space="preserve">As at 30 June 2022 there were 75 clients on a current VIM </w:t>
      </w:r>
      <w:bookmarkStart w:id="7" w:name="_Hlk113011828"/>
      <w:r w:rsidRPr="008E6D22">
        <w:t>who were claiming Centrelink payments for 66 children of which 41 were of school age.</w:t>
      </w:r>
      <w:bookmarkEnd w:id="7"/>
    </w:p>
    <w:p w14:paraId="05A5EE61" w14:textId="77777777" w:rsidR="009D790C" w:rsidRDefault="009D790C" w:rsidP="009D790C"/>
    <w:p w14:paraId="49B6ABBF" w14:textId="29946E79" w:rsidR="009D790C" w:rsidRPr="00BF51DE" w:rsidRDefault="009D790C" w:rsidP="00BF51DE">
      <w:pPr>
        <w:pStyle w:val="Heading5"/>
        <w:rPr>
          <w:rStyle w:val="Heading5Char"/>
        </w:rPr>
      </w:pPr>
      <w:r>
        <w:t>Voluntary income management and case plans</w:t>
      </w:r>
    </w:p>
    <w:p w14:paraId="635E46CF" w14:textId="1C1B304B" w:rsidR="001C2384" w:rsidRDefault="009D790C" w:rsidP="009D790C">
      <w:r w:rsidRPr="00353376">
        <w:t xml:space="preserve">Changes in conferencing style include focusing on reaching an agreement with clients in the first instance, </w:t>
      </w:r>
      <w:r w:rsidR="0067380D">
        <w:t xml:space="preserve">whilst </w:t>
      </w:r>
      <w:r w:rsidRPr="00353376">
        <w:t>explaining the benefits of service referrals even if only to develop a budget and savings plan to aide in the management of money on the CDC.</w:t>
      </w:r>
    </w:p>
    <w:p w14:paraId="722C81B9" w14:textId="3E5EE6DB" w:rsidR="009D790C" w:rsidRDefault="009D790C" w:rsidP="009D790C">
      <w:r w:rsidRPr="00353376">
        <w:t xml:space="preserve">The Commission is seeing an increase in the number of clients who </w:t>
      </w:r>
      <w:r w:rsidR="001C2384">
        <w:t xml:space="preserve">attend conference </w:t>
      </w:r>
      <w:r w:rsidR="00341023">
        <w:t xml:space="preserve">and although they may </w:t>
      </w:r>
      <w:r w:rsidR="00DB3BB5">
        <w:t xml:space="preserve">receive a </w:t>
      </w:r>
      <w:r w:rsidRPr="00353376">
        <w:t>conditional referral</w:t>
      </w:r>
      <w:r w:rsidR="00DB3BB5">
        <w:t xml:space="preserve"> </w:t>
      </w:r>
      <w:r w:rsidR="00674C03">
        <w:t>from a</w:t>
      </w:r>
      <w:r w:rsidR="008A322D">
        <w:t>n</w:t>
      </w:r>
      <w:r w:rsidR="00674C03">
        <w:t xml:space="preserve"> FRA </w:t>
      </w:r>
      <w:r w:rsidR="00C61D2B">
        <w:t xml:space="preserve">or </w:t>
      </w:r>
      <w:r w:rsidR="003B42D9">
        <w:t>order</w:t>
      </w:r>
      <w:r w:rsidR="00674C03">
        <w:t xml:space="preserve"> (subject to show cause if required)</w:t>
      </w:r>
      <w:r w:rsidR="000D5191">
        <w:t>,</w:t>
      </w:r>
      <w:r w:rsidRPr="00353376">
        <w:t xml:space="preserve"> </w:t>
      </w:r>
      <w:r w:rsidR="00716B2D">
        <w:t>they</w:t>
      </w:r>
      <w:r w:rsidRPr="00353376">
        <w:t xml:space="preserve"> also</w:t>
      </w:r>
      <w:r w:rsidR="000D5191">
        <w:t xml:space="preserve"> </w:t>
      </w:r>
      <w:r w:rsidR="00DE3192">
        <w:t xml:space="preserve">volunteer to be </w:t>
      </w:r>
      <w:r w:rsidR="00494726">
        <w:t>on</w:t>
      </w:r>
      <w:r w:rsidR="00365514">
        <w:t xml:space="preserve"> a period of</w:t>
      </w:r>
      <w:r w:rsidR="00494726">
        <w:t xml:space="preserve"> income management</w:t>
      </w:r>
      <w:r w:rsidRPr="00353376">
        <w:t>.</w:t>
      </w:r>
    </w:p>
    <w:p w14:paraId="13F426D8" w14:textId="77777777" w:rsidR="0067380D" w:rsidRDefault="0067380D" w:rsidP="009D790C"/>
    <w:tbl>
      <w:tblPr>
        <w:tblW w:w="8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128"/>
        <w:gridCol w:w="992"/>
        <w:gridCol w:w="992"/>
      </w:tblGrid>
      <w:tr w:rsidR="009D790C" w:rsidRPr="005371FE" w14:paraId="302DCDC6" w14:textId="77777777" w:rsidTr="00926567">
        <w:trPr>
          <w:trHeight w:val="300"/>
        </w:trPr>
        <w:tc>
          <w:tcPr>
            <w:tcW w:w="5387" w:type="dxa"/>
            <w:shd w:val="clear" w:color="auto" w:fill="808080" w:themeFill="background1" w:themeFillShade="80"/>
            <w:vAlign w:val="center"/>
          </w:tcPr>
          <w:p w14:paraId="30798E52" w14:textId="67C647DD" w:rsidR="009D790C" w:rsidRPr="005371FE" w:rsidRDefault="009D790C" w:rsidP="00926567">
            <w:pPr>
              <w:spacing w:before="60" w:after="60"/>
              <w:rPr>
                <w:b/>
                <w:bCs/>
                <w:color w:val="FFFFFF" w:themeColor="background1"/>
              </w:rPr>
            </w:pPr>
            <w:r w:rsidRPr="005371FE">
              <w:rPr>
                <w:b/>
                <w:bCs/>
                <w:color w:val="FFFFFF" w:themeColor="background1"/>
              </w:rPr>
              <w:t xml:space="preserve">Clients on </w:t>
            </w:r>
            <w:r w:rsidR="00F32447">
              <w:rPr>
                <w:b/>
                <w:bCs/>
                <w:color w:val="FFFFFF" w:themeColor="background1"/>
              </w:rPr>
              <w:t>CCPs</w:t>
            </w:r>
            <w:r w:rsidRPr="005371FE">
              <w:rPr>
                <w:b/>
                <w:bCs/>
                <w:color w:val="FFFFFF" w:themeColor="background1"/>
              </w:rPr>
              <w:t xml:space="preserve"> and </w:t>
            </w:r>
            <w:r>
              <w:rPr>
                <w:b/>
                <w:bCs/>
                <w:color w:val="FFFFFF" w:themeColor="background1"/>
              </w:rPr>
              <w:t>V</w:t>
            </w:r>
            <w:r w:rsidRPr="005371FE">
              <w:rPr>
                <w:b/>
                <w:bCs/>
                <w:color w:val="FFFFFF" w:themeColor="background1"/>
              </w:rPr>
              <w:t>IMs</w:t>
            </w:r>
            <w:r>
              <w:rPr>
                <w:rStyle w:val="FootnoteReference"/>
                <w:b/>
                <w:bCs/>
                <w:color w:val="FFFFFF" w:themeColor="background1"/>
              </w:rPr>
              <w:footnoteReference w:id="10"/>
            </w:r>
          </w:p>
        </w:tc>
        <w:tc>
          <w:tcPr>
            <w:tcW w:w="1128" w:type="dxa"/>
            <w:shd w:val="clear" w:color="auto" w:fill="808080" w:themeFill="background1" w:themeFillShade="80"/>
          </w:tcPr>
          <w:p w14:paraId="425599DC" w14:textId="77777777" w:rsidR="009D790C" w:rsidRPr="005371FE" w:rsidRDefault="009D790C" w:rsidP="00926567">
            <w:pPr>
              <w:spacing w:before="60" w:after="60"/>
              <w:jc w:val="center"/>
              <w:rPr>
                <w:b/>
                <w:bCs/>
                <w:color w:val="FFFFFF" w:themeColor="background1"/>
              </w:rPr>
            </w:pPr>
            <w:r>
              <w:rPr>
                <w:b/>
                <w:bCs/>
                <w:color w:val="FFFFFF" w:themeColor="background1"/>
              </w:rPr>
              <w:t>2019-20</w:t>
            </w:r>
          </w:p>
        </w:tc>
        <w:tc>
          <w:tcPr>
            <w:tcW w:w="992" w:type="dxa"/>
            <w:shd w:val="clear" w:color="auto" w:fill="808080" w:themeFill="background1" w:themeFillShade="80"/>
            <w:vAlign w:val="center"/>
          </w:tcPr>
          <w:p w14:paraId="68FC5DFE" w14:textId="77777777" w:rsidR="009D790C" w:rsidRPr="005371FE" w:rsidRDefault="009D790C" w:rsidP="00926567">
            <w:pPr>
              <w:spacing w:before="60" w:after="60"/>
              <w:jc w:val="center"/>
              <w:rPr>
                <w:b/>
                <w:bCs/>
                <w:color w:val="FFFFFF" w:themeColor="background1"/>
              </w:rPr>
            </w:pPr>
            <w:r w:rsidRPr="005371FE">
              <w:rPr>
                <w:b/>
                <w:bCs/>
                <w:color w:val="FFFFFF" w:themeColor="background1"/>
              </w:rPr>
              <w:t>2020-21</w:t>
            </w:r>
          </w:p>
        </w:tc>
        <w:tc>
          <w:tcPr>
            <w:tcW w:w="992" w:type="dxa"/>
            <w:shd w:val="clear" w:color="auto" w:fill="808080" w:themeFill="background1" w:themeFillShade="80"/>
            <w:vAlign w:val="center"/>
          </w:tcPr>
          <w:p w14:paraId="34AEC7A5" w14:textId="77777777" w:rsidR="009D790C" w:rsidRPr="005371FE" w:rsidRDefault="009D790C" w:rsidP="00926567">
            <w:pPr>
              <w:spacing w:before="60" w:after="60"/>
              <w:jc w:val="center"/>
              <w:rPr>
                <w:b/>
                <w:bCs/>
                <w:color w:val="FFFFFF" w:themeColor="background1"/>
              </w:rPr>
            </w:pPr>
            <w:r w:rsidRPr="005371FE">
              <w:rPr>
                <w:b/>
                <w:bCs/>
                <w:color w:val="FFFFFF" w:themeColor="background1"/>
              </w:rPr>
              <w:t>202</w:t>
            </w:r>
            <w:r>
              <w:rPr>
                <w:b/>
                <w:bCs/>
                <w:color w:val="FFFFFF" w:themeColor="background1"/>
              </w:rPr>
              <w:t>1</w:t>
            </w:r>
            <w:r w:rsidRPr="005371FE">
              <w:rPr>
                <w:b/>
                <w:bCs/>
                <w:color w:val="FFFFFF" w:themeColor="background1"/>
              </w:rPr>
              <w:t>-2</w:t>
            </w:r>
            <w:r>
              <w:rPr>
                <w:b/>
                <w:bCs/>
                <w:color w:val="FFFFFF" w:themeColor="background1"/>
              </w:rPr>
              <w:t>2</w:t>
            </w:r>
          </w:p>
        </w:tc>
      </w:tr>
      <w:tr w:rsidR="009D790C" w:rsidRPr="005371FE" w14:paraId="28B0C067" w14:textId="77777777" w:rsidTr="00926567">
        <w:trPr>
          <w:trHeight w:val="300"/>
        </w:trPr>
        <w:tc>
          <w:tcPr>
            <w:tcW w:w="5387" w:type="dxa"/>
            <w:tcBorders>
              <w:bottom w:val="single" w:sz="4" w:space="0" w:color="auto"/>
            </w:tcBorders>
            <w:shd w:val="clear" w:color="auto" w:fill="auto"/>
            <w:vAlign w:val="center"/>
          </w:tcPr>
          <w:p w14:paraId="683BEDAF" w14:textId="14B5657E" w:rsidR="009D790C" w:rsidRPr="005371FE" w:rsidRDefault="009D790C" w:rsidP="00926567">
            <w:pPr>
              <w:spacing w:before="60" w:after="60"/>
            </w:pPr>
            <w:r w:rsidRPr="005371FE">
              <w:t xml:space="preserve">Number of clients </w:t>
            </w:r>
            <w:r>
              <w:t xml:space="preserve">on a </w:t>
            </w:r>
            <w:r w:rsidRPr="00352257">
              <w:rPr>
                <w:b/>
                <w:bCs/>
              </w:rPr>
              <w:t xml:space="preserve">VIM </w:t>
            </w:r>
            <w:r w:rsidRPr="00352257">
              <w:rPr>
                <w:b/>
                <w:bCs/>
                <w:u w:val="single"/>
              </w:rPr>
              <w:t xml:space="preserve">with a </w:t>
            </w:r>
            <w:r w:rsidR="00F32447">
              <w:rPr>
                <w:b/>
                <w:bCs/>
                <w:u w:val="single"/>
              </w:rPr>
              <w:t>CCP</w:t>
            </w:r>
          </w:p>
        </w:tc>
        <w:tc>
          <w:tcPr>
            <w:tcW w:w="1128" w:type="dxa"/>
          </w:tcPr>
          <w:p w14:paraId="5E1A3AB9" w14:textId="77777777" w:rsidR="009D790C" w:rsidRPr="008E6D22" w:rsidRDefault="009D790C" w:rsidP="00926567">
            <w:pPr>
              <w:spacing w:before="60" w:after="60"/>
              <w:jc w:val="right"/>
            </w:pPr>
            <w:r w:rsidRPr="008E6D22">
              <w:t>2</w:t>
            </w:r>
          </w:p>
        </w:tc>
        <w:tc>
          <w:tcPr>
            <w:tcW w:w="992" w:type="dxa"/>
            <w:shd w:val="clear" w:color="auto" w:fill="auto"/>
          </w:tcPr>
          <w:p w14:paraId="2F4BB77B" w14:textId="77777777" w:rsidR="009D790C" w:rsidRPr="008E6D22" w:rsidRDefault="009D790C" w:rsidP="00926567">
            <w:pPr>
              <w:spacing w:before="60" w:after="60"/>
              <w:jc w:val="right"/>
            </w:pPr>
            <w:r w:rsidRPr="008E6D22">
              <w:t>32</w:t>
            </w:r>
          </w:p>
        </w:tc>
        <w:tc>
          <w:tcPr>
            <w:tcW w:w="992" w:type="dxa"/>
            <w:shd w:val="clear" w:color="auto" w:fill="auto"/>
          </w:tcPr>
          <w:p w14:paraId="06CAAF39" w14:textId="77777777" w:rsidR="009D790C" w:rsidRPr="008E6D22" w:rsidRDefault="009D790C" w:rsidP="00926567">
            <w:pPr>
              <w:spacing w:before="60" w:after="60"/>
              <w:jc w:val="right"/>
            </w:pPr>
            <w:r w:rsidRPr="008E6D22">
              <w:t>51</w:t>
            </w:r>
          </w:p>
        </w:tc>
      </w:tr>
    </w:tbl>
    <w:p w14:paraId="1FD1E6B8" w14:textId="77777777" w:rsidR="009D790C" w:rsidRDefault="009D790C" w:rsidP="009D790C"/>
    <w:p w14:paraId="557C8C6A" w14:textId="039B0D53" w:rsidR="009D790C" w:rsidRDefault="009D790C" w:rsidP="009D790C">
      <w:r w:rsidRPr="00365514">
        <w:t>The Commission</w:t>
      </w:r>
      <w:r w:rsidR="001C2384" w:rsidRPr="0067380D">
        <w:t xml:space="preserve"> is </w:t>
      </w:r>
      <w:r w:rsidR="00494726" w:rsidRPr="0067380D">
        <w:t>further</w:t>
      </w:r>
      <w:r w:rsidR="001C2384" w:rsidRPr="0067380D">
        <w:t xml:space="preserve"> seeing a</w:t>
      </w:r>
      <w:r w:rsidR="00EE3CE3" w:rsidRPr="0067380D">
        <w:t>n</w:t>
      </w:r>
      <w:r w:rsidR="001C2384" w:rsidRPr="0067380D">
        <w:t xml:space="preserve"> increase in the number of clients </w:t>
      </w:r>
      <w:r w:rsidR="00494726" w:rsidRPr="0067380D">
        <w:t>who</w:t>
      </w:r>
      <w:r w:rsidR="00976809" w:rsidRPr="0067380D">
        <w:t xml:space="preserve"> s</w:t>
      </w:r>
      <w:r w:rsidR="00494726" w:rsidRPr="0067380D">
        <w:t>elf</w:t>
      </w:r>
      <w:r w:rsidR="00976809" w:rsidRPr="0067380D">
        <w:t>-</w:t>
      </w:r>
      <w:r w:rsidR="00494726" w:rsidRPr="0067380D">
        <w:t>refer</w:t>
      </w:r>
      <w:r w:rsidR="00365514">
        <w:t xml:space="preserve"> </w:t>
      </w:r>
      <w:r w:rsidR="00674C03">
        <w:t xml:space="preserve">(not subject to show cause) </w:t>
      </w:r>
      <w:r w:rsidR="00365514">
        <w:t>without a</w:t>
      </w:r>
      <w:r w:rsidR="00FC5E4D">
        <w:t xml:space="preserve"> mandated</w:t>
      </w:r>
      <w:r w:rsidR="00365514">
        <w:t xml:space="preserve"> requirement </w:t>
      </w:r>
      <w:r w:rsidR="00FC5E4D">
        <w:t>to attend conference</w:t>
      </w:r>
      <w:r w:rsidR="00050809" w:rsidRPr="0067380D">
        <w:t>.</w:t>
      </w:r>
      <w:r w:rsidR="00976809" w:rsidRPr="0067380D">
        <w:t xml:space="preserve"> </w:t>
      </w:r>
      <w:r w:rsidR="003C3C4C" w:rsidRPr="0067380D">
        <w:t xml:space="preserve">As can be seen in the table </w:t>
      </w:r>
      <w:r w:rsidR="006524E2" w:rsidRPr="0067380D">
        <w:t xml:space="preserve">below </w:t>
      </w:r>
      <w:r w:rsidR="008D1725" w:rsidRPr="0067380D">
        <w:t xml:space="preserve">these </w:t>
      </w:r>
      <w:r w:rsidR="006524E2" w:rsidRPr="0067380D">
        <w:t>clients</w:t>
      </w:r>
      <w:r w:rsidR="00976809" w:rsidRPr="0067380D">
        <w:t xml:space="preserve"> </w:t>
      </w:r>
      <w:r w:rsidR="00050809" w:rsidRPr="0067380D">
        <w:t>engage</w:t>
      </w:r>
      <w:r w:rsidR="00EE3CE3" w:rsidRPr="0067380D">
        <w:t xml:space="preserve"> with the FRC on an</w:t>
      </w:r>
      <w:r w:rsidR="00050809" w:rsidRPr="0067380D">
        <w:t xml:space="preserve"> </w:t>
      </w:r>
      <w:r w:rsidR="008D1725" w:rsidRPr="0067380D">
        <w:t>entirely</w:t>
      </w:r>
      <w:r w:rsidR="00050809" w:rsidRPr="0067380D">
        <w:t xml:space="preserve"> </w:t>
      </w:r>
      <w:r w:rsidR="00976809" w:rsidRPr="0067380D">
        <w:t>volunt</w:t>
      </w:r>
      <w:r w:rsidR="008D1725" w:rsidRPr="0067380D">
        <w:t>ary</w:t>
      </w:r>
      <w:r w:rsidR="00050809" w:rsidRPr="0067380D">
        <w:t xml:space="preserve"> basis</w:t>
      </w:r>
      <w:r w:rsidR="00D04BFD" w:rsidRPr="0067380D">
        <w:t>.</w:t>
      </w:r>
    </w:p>
    <w:p w14:paraId="48F1D0BE" w14:textId="77777777" w:rsidR="0067380D" w:rsidRDefault="0067380D" w:rsidP="009D790C"/>
    <w:tbl>
      <w:tblPr>
        <w:tblW w:w="8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128"/>
        <w:gridCol w:w="992"/>
        <w:gridCol w:w="992"/>
      </w:tblGrid>
      <w:tr w:rsidR="009D790C" w:rsidRPr="005371FE" w14:paraId="61C06BA5" w14:textId="77777777" w:rsidTr="00926567">
        <w:trPr>
          <w:trHeight w:val="300"/>
        </w:trPr>
        <w:tc>
          <w:tcPr>
            <w:tcW w:w="5387" w:type="dxa"/>
            <w:shd w:val="clear" w:color="auto" w:fill="808080" w:themeFill="background1" w:themeFillShade="80"/>
            <w:vAlign w:val="center"/>
          </w:tcPr>
          <w:p w14:paraId="2623967A" w14:textId="3F49DA19" w:rsidR="009D790C" w:rsidRPr="005371FE" w:rsidRDefault="009D790C" w:rsidP="00926567">
            <w:pPr>
              <w:spacing w:before="60" w:after="60"/>
              <w:rPr>
                <w:b/>
                <w:bCs/>
                <w:color w:val="FFFFFF" w:themeColor="background1"/>
              </w:rPr>
            </w:pPr>
            <w:r w:rsidRPr="005371FE">
              <w:rPr>
                <w:b/>
                <w:bCs/>
                <w:color w:val="FFFFFF" w:themeColor="background1"/>
              </w:rPr>
              <w:t xml:space="preserve">Clients on </w:t>
            </w:r>
            <w:r w:rsidR="00F32447">
              <w:rPr>
                <w:b/>
                <w:bCs/>
                <w:color w:val="FFFFFF" w:themeColor="background1"/>
              </w:rPr>
              <w:t>VCPs</w:t>
            </w:r>
            <w:r w:rsidRPr="005371FE">
              <w:rPr>
                <w:b/>
                <w:bCs/>
                <w:color w:val="FFFFFF" w:themeColor="background1"/>
              </w:rPr>
              <w:t xml:space="preserve"> and</w:t>
            </w:r>
            <w:r>
              <w:rPr>
                <w:b/>
                <w:bCs/>
                <w:color w:val="FFFFFF" w:themeColor="background1"/>
              </w:rPr>
              <w:t>/or</w:t>
            </w:r>
            <w:r w:rsidRPr="005371FE">
              <w:rPr>
                <w:b/>
                <w:bCs/>
                <w:color w:val="FFFFFF" w:themeColor="background1"/>
              </w:rPr>
              <w:t xml:space="preserve"> </w:t>
            </w:r>
            <w:r>
              <w:rPr>
                <w:b/>
                <w:bCs/>
                <w:color w:val="FFFFFF" w:themeColor="background1"/>
              </w:rPr>
              <w:t>V</w:t>
            </w:r>
            <w:r w:rsidRPr="005371FE">
              <w:rPr>
                <w:b/>
                <w:bCs/>
                <w:color w:val="FFFFFF" w:themeColor="background1"/>
              </w:rPr>
              <w:t>IMs</w:t>
            </w:r>
            <w:r>
              <w:rPr>
                <w:rStyle w:val="FootnoteReference"/>
                <w:b/>
                <w:bCs/>
                <w:color w:val="FFFFFF" w:themeColor="background1"/>
              </w:rPr>
              <w:footnoteReference w:id="11"/>
            </w:r>
          </w:p>
        </w:tc>
        <w:tc>
          <w:tcPr>
            <w:tcW w:w="1128" w:type="dxa"/>
            <w:shd w:val="clear" w:color="auto" w:fill="808080" w:themeFill="background1" w:themeFillShade="80"/>
          </w:tcPr>
          <w:p w14:paraId="3E509119" w14:textId="77777777" w:rsidR="009D790C" w:rsidRPr="005371FE" w:rsidRDefault="009D790C" w:rsidP="00926567">
            <w:pPr>
              <w:spacing w:before="60" w:after="60"/>
              <w:jc w:val="center"/>
              <w:rPr>
                <w:b/>
                <w:bCs/>
                <w:color w:val="FFFFFF" w:themeColor="background1"/>
              </w:rPr>
            </w:pPr>
            <w:r>
              <w:rPr>
                <w:b/>
                <w:bCs/>
                <w:color w:val="FFFFFF" w:themeColor="background1"/>
              </w:rPr>
              <w:t>2019-20</w:t>
            </w:r>
          </w:p>
        </w:tc>
        <w:tc>
          <w:tcPr>
            <w:tcW w:w="992" w:type="dxa"/>
            <w:shd w:val="clear" w:color="auto" w:fill="808080" w:themeFill="background1" w:themeFillShade="80"/>
            <w:vAlign w:val="center"/>
          </w:tcPr>
          <w:p w14:paraId="33DB5090" w14:textId="77777777" w:rsidR="009D790C" w:rsidRPr="005371FE" w:rsidRDefault="009D790C" w:rsidP="00926567">
            <w:pPr>
              <w:spacing w:before="60" w:after="60"/>
              <w:jc w:val="center"/>
              <w:rPr>
                <w:b/>
                <w:bCs/>
                <w:color w:val="FFFFFF" w:themeColor="background1"/>
              </w:rPr>
            </w:pPr>
            <w:r w:rsidRPr="005371FE">
              <w:rPr>
                <w:b/>
                <w:bCs/>
                <w:color w:val="FFFFFF" w:themeColor="background1"/>
              </w:rPr>
              <w:t>2020-21</w:t>
            </w:r>
          </w:p>
        </w:tc>
        <w:tc>
          <w:tcPr>
            <w:tcW w:w="992" w:type="dxa"/>
            <w:shd w:val="clear" w:color="auto" w:fill="808080" w:themeFill="background1" w:themeFillShade="80"/>
            <w:vAlign w:val="center"/>
          </w:tcPr>
          <w:p w14:paraId="7FAE6E0A" w14:textId="77777777" w:rsidR="009D790C" w:rsidRPr="005371FE" w:rsidRDefault="009D790C" w:rsidP="00926567">
            <w:pPr>
              <w:spacing w:before="60" w:after="60"/>
              <w:jc w:val="center"/>
              <w:rPr>
                <w:b/>
                <w:bCs/>
                <w:color w:val="FFFFFF" w:themeColor="background1"/>
              </w:rPr>
            </w:pPr>
            <w:r w:rsidRPr="005371FE">
              <w:rPr>
                <w:b/>
                <w:bCs/>
                <w:color w:val="FFFFFF" w:themeColor="background1"/>
              </w:rPr>
              <w:t>202</w:t>
            </w:r>
            <w:r>
              <w:rPr>
                <w:b/>
                <w:bCs/>
                <w:color w:val="FFFFFF" w:themeColor="background1"/>
              </w:rPr>
              <w:t>1</w:t>
            </w:r>
            <w:r w:rsidRPr="005371FE">
              <w:rPr>
                <w:b/>
                <w:bCs/>
                <w:color w:val="FFFFFF" w:themeColor="background1"/>
              </w:rPr>
              <w:t>-2</w:t>
            </w:r>
            <w:r>
              <w:rPr>
                <w:b/>
                <w:bCs/>
                <w:color w:val="FFFFFF" w:themeColor="background1"/>
              </w:rPr>
              <w:t>2</w:t>
            </w:r>
          </w:p>
        </w:tc>
      </w:tr>
      <w:tr w:rsidR="009D790C" w:rsidRPr="005371FE" w14:paraId="30D38037" w14:textId="77777777" w:rsidTr="00926567">
        <w:trPr>
          <w:trHeight w:val="300"/>
        </w:trPr>
        <w:tc>
          <w:tcPr>
            <w:tcW w:w="5387" w:type="dxa"/>
            <w:shd w:val="clear" w:color="auto" w:fill="auto"/>
            <w:vAlign w:val="center"/>
          </w:tcPr>
          <w:p w14:paraId="2DEE7614" w14:textId="77777777" w:rsidR="009D790C" w:rsidRPr="005371FE" w:rsidRDefault="009D790C" w:rsidP="00926567">
            <w:pPr>
              <w:spacing w:before="60" w:after="60"/>
            </w:pPr>
            <w:r w:rsidRPr="005371FE">
              <w:t xml:space="preserve">Number of clients </w:t>
            </w:r>
            <w:r>
              <w:t>on a</w:t>
            </w:r>
            <w:r w:rsidRPr="00352257">
              <w:t xml:space="preserve"> </w:t>
            </w:r>
            <w:r>
              <w:rPr>
                <w:b/>
                <w:bCs/>
                <w:u w:val="single"/>
              </w:rPr>
              <w:t>V</w:t>
            </w:r>
            <w:r w:rsidRPr="005371FE">
              <w:rPr>
                <w:b/>
                <w:bCs/>
                <w:u w:val="single"/>
              </w:rPr>
              <w:t>IM</w:t>
            </w:r>
          </w:p>
        </w:tc>
        <w:tc>
          <w:tcPr>
            <w:tcW w:w="1128" w:type="dxa"/>
          </w:tcPr>
          <w:p w14:paraId="3034AEA4" w14:textId="77777777" w:rsidR="009D790C" w:rsidRPr="008E6D22" w:rsidRDefault="009D790C" w:rsidP="00926567">
            <w:pPr>
              <w:spacing w:before="60" w:after="60"/>
              <w:jc w:val="right"/>
            </w:pPr>
            <w:r w:rsidRPr="008E6D22">
              <w:t>16</w:t>
            </w:r>
          </w:p>
        </w:tc>
        <w:tc>
          <w:tcPr>
            <w:tcW w:w="992" w:type="dxa"/>
            <w:shd w:val="clear" w:color="auto" w:fill="auto"/>
            <w:vAlign w:val="center"/>
          </w:tcPr>
          <w:p w14:paraId="701C8717" w14:textId="77777777" w:rsidR="009D790C" w:rsidRPr="008E6D22" w:rsidRDefault="009D790C" w:rsidP="00926567">
            <w:pPr>
              <w:spacing w:before="60" w:after="60"/>
              <w:jc w:val="right"/>
            </w:pPr>
            <w:r w:rsidRPr="008E6D22">
              <w:t>53</w:t>
            </w:r>
          </w:p>
        </w:tc>
        <w:tc>
          <w:tcPr>
            <w:tcW w:w="992" w:type="dxa"/>
            <w:shd w:val="clear" w:color="auto" w:fill="auto"/>
            <w:vAlign w:val="center"/>
          </w:tcPr>
          <w:p w14:paraId="1177826E" w14:textId="77777777" w:rsidR="009D790C" w:rsidRPr="008E6D22" w:rsidRDefault="009D790C" w:rsidP="00926567">
            <w:pPr>
              <w:spacing w:before="60" w:after="60"/>
              <w:jc w:val="right"/>
            </w:pPr>
            <w:r w:rsidRPr="008E6D22">
              <w:t>68</w:t>
            </w:r>
          </w:p>
        </w:tc>
      </w:tr>
      <w:tr w:rsidR="009D790C" w:rsidRPr="005371FE" w14:paraId="66124540" w14:textId="77777777" w:rsidTr="00926567">
        <w:trPr>
          <w:trHeight w:val="300"/>
        </w:trPr>
        <w:tc>
          <w:tcPr>
            <w:tcW w:w="5387" w:type="dxa"/>
            <w:tcBorders>
              <w:bottom w:val="single" w:sz="4" w:space="0" w:color="auto"/>
            </w:tcBorders>
            <w:shd w:val="clear" w:color="auto" w:fill="auto"/>
            <w:vAlign w:val="center"/>
          </w:tcPr>
          <w:p w14:paraId="3CEA980B" w14:textId="3A813813" w:rsidR="009D790C" w:rsidRPr="005371FE" w:rsidRDefault="009D790C" w:rsidP="00926567">
            <w:pPr>
              <w:spacing w:before="60" w:after="60"/>
            </w:pPr>
            <w:r w:rsidRPr="005371FE">
              <w:t xml:space="preserve">Number of clients </w:t>
            </w:r>
            <w:r>
              <w:t xml:space="preserve">on a </w:t>
            </w:r>
            <w:r w:rsidRPr="00352257">
              <w:rPr>
                <w:b/>
                <w:bCs/>
              </w:rPr>
              <w:t xml:space="preserve">VIM </w:t>
            </w:r>
            <w:r w:rsidRPr="00352257">
              <w:rPr>
                <w:b/>
                <w:bCs/>
                <w:u w:val="single"/>
              </w:rPr>
              <w:t xml:space="preserve">with a </w:t>
            </w:r>
            <w:r>
              <w:rPr>
                <w:b/>
                <w:bCs/>
                <w:u w:val="single"/>
              </w:rPr>
              <w:t>(VCP)</w:t>
            </w:r>
          </w:p>
        </w:tc>
        <w:tc>
          <w:tcPr>
            <w:tcW w:w="1128" w:type="dxa"/>
            <w:vAlign w:val="center"/>
          </w:tcPr>
          <w:p w14:paraId="0ED7C494" w14:textId="77777777" w:rsidR="009D790C" w:rsidRPr="008E6D22" w:rsidRDefault="009D790C" w:rsidP="00926567">
            <w:pPr>
              <w:spacing w:before="60" w:after="60"/>
              <w:jc w:val="right"/>
            </w:pPr>
            <w:r w:rsidRPr="008E6D22">
              <w:t>0</w:t>
            </w:r>
          </w:p>
        </w:tc>
        <w:tc>
          <w:tcPr>
            <w:tcW w:w="992" w:type="dxa"/>
            <w:shd w:val="clear" w:color="auto" w:fill="auto"/>
            <w:vAlign w:val="center"/>
          </w:tcPr>
          <w:p w14:paraId="069D086F" w14:textId="77777777" w:rsidR="009D790C" w:rsidRPr="008E6D22" w:rsidRDefault="009D790C" w:rsidP="00926567">
            <w:pPr>
              <w:spacing w:before="60" w:after="60"/>
              <w:jc w:val="right"/>
            </w:pPr>
            <w:r w:rsidRPr="008E6D22">
              <w:t>1</w:t>
            </w:r>
          </w:p>
        </w:tc>
        <w:tc>
          <w:tcPr>
            <w:tcW w:w="992" w:type="dxa"/>
            <w:shd w:val="clear" w:color="auto" w:fill="auto"/>
            <w:vAlign w:val="center"/>
          </w:tcPr>
          <w:p w14:paraId="5159334F" w14:textId="77777777" w:rsidR="009D790C" w:rsidRPr="008E6D22" w:rsidRDefault="009D790C" w:rsidP="00926567">
            <w:pPr>
              <w:spacing w:before="60" w:after="60"/>
              <w:jc w:val="right"/>
            </w:pPr>
            <w:r w:rsidRPr="008E6D22">
              <w:t>4</w:t>
            </w:r>
          </w:p>
        </w:tc>
      </w:tr>
      <w:tr w:rsidR="009D790C" w:rsidRPr="005371FE" w14:paraId="47E88BA4" w14:textId="77777777" w:rsidTr="00926567">
        <w:trPr>
          <w:trHeight w:val="300"/>
        </w:trPr>
        <w:tc>
          <w:tcPr>
            <w:tcW w:w="5387" w:type="dxa"/>
            <w:shd w:val="clear" w:color="auto" w:fill="auto"/>
            <w:vAlign w:val="center"/>
          </w:tcPr>
          <w:p w14:paraId="65F78323" w14:textId="77777777" w:rsidR="009D790C" w:rsidRPr="005371FE" w:rsidRDefault="009D790C" w:rsidP="00926567">
            <w:pPr>
              <w:spacing w:before="60" w:after="60"/>
            </w:pPr>
            <w:r w:rsidRPr="005371FE">
              <w:t xml:space="preserve">Number of clients </w:t>
            </w:r>
            <w:r>
              <w:t xml:space="preserve">on a </w:t>
            </w:r>
            <w:r w:rsidRPr="00317C4B">
              <w:rPr>
                <w:b/>
                <w:bCs/>
              </w:rPr>
              <w:t>VCP</w:t>
            </w:r>
            <w:r>
              <w:t xml:space="preserve"> </w:t>
            </w:r>
            <w:r w:rsidRPr="00352257">
              <w:rPr>
                <w:b/>
                <w:bCs/>
                <w:u w:val="single"/>
              </w:rPr>
              <w:t>without VIM</w:t>
            </w:r>
          </w:p>
        </w:tc>
        <w:tc>
          <w:tcPr>
            <w:tcW w:w="1128" w:type="dxa"/>
          </w:tcPr>
          <w:p w14:paraId="636EBC37" w14:textId="77777777" w:rsidR="009D790C" w:rsidRPr="008E6D22" w:rsidRDefault="009D790C" w:rsidP="00926567">
            <w:pPr>
              <w:spacing w:before="60" w:after="60"/>
              <w:jc w:val="right"/>
            </w:pPr>
            <w:r w:rsidRPr="008E6D22">
              <w:t>0</w:t>
            </w:r>
          </w:p>
        </w:tc>
        <w:tc>
          <w:tcPr>
            <w:tcW w:w="992" w:type="dxa"/>
            <w:shd w:val="clear" w:color="auto" w:fill="auto"/>
            <w:vAlign w:val="center"/>
          </w:tcPr>
          <w:p w14:paraId="2A377667" w14:textId="77777777" w:rsidR="009D790C" w:rsidRPr="008E6D22" w:rsidRDefault="009D790C" w:rsidP="00926567">
            <w:pPr>
              <w:spacing w:before="60" w:after="60"/>
              <w:jc w:val="right"/>
            </w:pPr>
            <w:r w:rsidRPr="008E6D22">
              <w:t>3</w:t>
            </w:r>
          </w:p>
        </w:tc>
        <w:tc>
          <w:tcPr>
            <w:tcW w:w="992" w:type="dxa"/>
            <w:shd w:val="clear" w:color="auto" w:fill="auto"/>
            <w:vAlign w:val="center"/>
          </w:tcPr>
          <w:p w14:paraId="2CC620E4" w14:textId="77777777" w:rsidR="009D790C" w:rsidRPr="008E6D22" w:rsidRDefault="009D790C" w:rsidP="00926567">
            <w:pPr>
              <w:spacing w:before="60" w:after="60"/>
              <w:jc w:val="right"/>
            </w:pPr>
            <w:r w:rsidRPr="008E6D22">
              <w:t>9</w:t>
            </w:r>
          </w:p>
        </w:tc>
      </w:tr>
    </w:tbl>
    <w:p w14:paraId="3F41F0FD" w14:textId="3233CEDA" w:rsidR="009D790C" w:rsidRDefault="009D790C" w:rsidP="009D790C"/>
    <w:p w14:paraId="089347DB" w14:textId="6E095DAF" w:rsidR="002C1B40" w:rsidRDefault="002C1B40" w:rsidP="009D790C">
      <w:r w:rsidRPr="008D4265">
        <w:t>The FRC considers these clients to be</w:t>
      </w:r>
      <w:r w:rsidR="00C6466C" w:rsidRPr="008D4265">
        <w:t xml:space="preserve"> the best indicator of a community member</w:t>
      </w:r>
      <w:r w:rsidR="00C0455C" w:rsidRPr="008D4265">
        <w:t>’s willingness</w:t>
      </w:r>
      <w:r w:rsidR="00C6466C" w:rsidRPr="008D4265">
        <w:t xml:space="preserve"> </w:t>
      </w:r>
      <w:r w:rsidR="00C0455C" w:rsidRPr="008D4265">
        <w:t xml:space="preserve">to </w:t>
      </w:r>
      <w:r w:rsidRPr="008D4265">
        <w:t>tak</w:t>
      </w:r>
      <w:r w:rsidR="00C0455C" w:rsidRPr="008D4265">
        <w:t>e</w:t>
      </w:r>
      <w:r w:rsidRPr="008D4265">
        <w:t xml:space="preserve"> greater personal responsibility</w:t>
      </w:r>
      <w:r w:rsidR="004F5CC1" w:rsidRPr="008D4265">
        <w:t xml:space="preserve"> with increased</w:t>
      </w:r>
      <w:r w:rsidRPr="008D4265">
        <w:t xml:space="preserve"> expectations of themselves and</w:t>
      </w:r>
      <w:r w:rsidR="004F5CC1" w:rsidRPr="008D4265">
        <w:t xml:space="preserve"> </w:t>
      </w:r>
      <w:r w:rsidRPr="008D4265">
        <w:t xml:space="preserve">their families. </w:t>
      </w:r>
      <w:r w:rsidR="00365514" w:rsidRPr="008D4265">
        <w:t>Although the number of persons is still quite small, t</w:t>
      </w:r>
      <w:r w:rsidR="004F5CC1" w:rsidRPr="008D4265">
        <w:t>he FRC</w:t>
      </w:r>
      <w:r w:rsidR="00FC5E4D">
        <w:t xml:space="preserve"> nonetheless</w:t>
      </w:r>
      <w:r w:rsidR="004F5CC1" w:rsidRPr="008D4265">
        <w:t xml:space="preserve"> </w:t>
      </w:r>
      <w:r w:rsidR="008A44A7" w:rsidRPr="008D4265">
        <w:t xml:space="preserve">has noticed an </w:t>
      </w:r>
      <w:r w:rsidR="007B6E47" w:rsidRPr="008D4265">
        <w:t>upward trend of voluntary engagement by communit</w:t>
      </w:r>
      <w:r w:rsidR="00C6466C" w:rsidRPr="008D4265">
        <w:t>y members</w:t>
      </w:r>
      <w:r w:rsidR="007B6E47" w:rsidRPr="008D4265">
        <w:t xml:space="preserve"> </w:t>
      </w:r>
      <w:r w:rsidR="00763F97" w:rsidRPr="008D4265">
        <w:t xml:space="preserve">across all </w:t>
      </w:r>
      <w:r w:rsidRPr="008D4265">
        <w:t xml:space="preserve">three </w:t>
      </w:r>
      <w:r w:rsidR="00106E38" w:rsidRPr="008D4265">
        <w:t xml:space="preserve">reporting </w:t>
      </w:r>
      <w:r w:rsidRPr="008D4265">
        <w:t>categories</w:t>
      </w:r>
      <w:r w:rsidR="00763F97" w:rsidRPr="008D4265">
        <w:t xml:space="preserve">. </w:t>
      </w:r>
      <w:r w:rsidR="00106E38" w:rsidRPr="008D4265">
        <w:t xml:space="preserve">For </w:t>
      </w:r>
      <w:r w:rsidR="00447A19" w:rsidRPr="008D4265">
        <w:t>instance, when comparing data from 2020-21 to 2021-22</w:t>
      </w:r>
      <w:r w:rsidR="00C6466C" w:rsidRPr="008D4265">
        <w:t>,</w:t>
      </w:r>
      <w:r w:rsidR="00447A19" w:rsidRPr="008D4265">
        <w:t xml:space="preserve"> there is</w:t>
      </w:r>
      <w:r w:rsidR="00763F97" w:rsidRPr="008D4265">
        <w:t xml:space="preserve"> </w:t>
      </w:r>
      <w:r w:rsidRPr="008D4265">
        <w:t xml:space="preserve">a 28 percent </w:t>
      </w:r>
      <w:r w:rsidRPr="008D4265">
        <w:lastRenderedPageBreak/>
        <w:t>increase in the number of clients entering into a VIM only, a 300 percent increase in the number of clients on a VIM and VCP and a 200 percent increase in the number of clients entering solely into a VCP</w:t>
      </w:r>
      <w:r w:rsidR="00447A19" w:rsidRPr="008D4265">
        <w:t>.</w:t>
      </w:r>
    </w:p>
    <w:p w14:paraId="785C03D3" w14:textId="77777777" w:rsidR="006A2989" w:rsidRPr="005371FE" w:rsidRDefault="006A2989" w:rsidP="009D790C"/>
    <w:p w14:paraId="6DBE6737" w14:textId="77777777" w:rsidR="009D790C" w:rsidRPr="005371FE" w:rsidRDefault="009D790C" w:rsidP="009D790C">
      <w:pPr>
        <w:pStyle w:val="Heading3"/>
      </w:pPr>
      <w:r w:rsidRPr="005371FE">
        <w:t>Applications to amend or end agreements or orders</w:t>
      </w:r>
    </w:p>
    <w:p w14:paraId="3C8A8E0F" w14:textId="785B144B" w:rsidR="009D790C" w:rsidRPr="005371FE" w:rsidRDefault="009D790C" w:rsidP="009D790C">
      <w:r w:rsidRPr="005371FE">
        <w:t xml:space="preserve">Applications to amend or end an agreement </w:t>
      </w:r>
      <w:r w:rsidR="00444367">
        <w:t xml:space="preserve">(including a voluntary agreement) </w:t>
      </w:r>
      <w:r w:rsidRPr="005371FE">
        <w:t xml:space="preserve">or order are considered an important means of ensuring that FRC decisions remain applicable to the changing needs and circumstances of clients. This mechanism affords clients an opportunity to apply to the Commission to amend or end their agreement or order by providing their reasons </w:t>
      </w:r>
      <w:r w:rsidRPr="008E6D22">
        <w:t>for making the application. The increase in applications to amend or end received is primarily due to the 49 percent increase in VIM</w:t>
      </w:r>
      <w:r w:rsidR="00DB045C" w:rsidRPr="008E6D22">
        <w:t xml:space="preserve"> agreements</w:t>
      </w:r>
      <w:r w:rsidRPr="008E6D22">
        <w:t>. Commissioners view the hearing of the applications as an opportunity to engage with clients.</w:t>
      </w:r>
    </w:p>
    <w:p w14:paraId="2A78B0A3" w14:textId="77777777" w:rsidR="009D790C" w:rsidRPr="005371FE" w:rsidRDefault="009D790C" w:rsidP="009D790C"/>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992"/>
        <w:gridCol w:w="992"/>
      </w:tblGrid>
      <w:tr w:rsidR="009D790C" w:rsidRPr="005371FE" w14:paraId="50F434A0" w14:textId="77777777" w:rsidTr="00926567">
        <w:trPr>
          <w:trHeight w:val="300"/>
        </w:trPr>
        <w:tc>
          <w:tcPr>
            <w:tcW w:w="6521" w:type="dxa"/>
            <w:shd w:val="clear" w:color="auto" w:fill="808080" w:themeFill="background1" w:themeFillShade="80"/>
            <w:vAlign w:val="center"/>
          </w:tcPr>
          <w:p w14:paraId="731D3939" w14:textId="42E58E65" w:rsidR="009D790C" w:rsidRPr="00B57425" w:rsidRDefault="00C92C32" w:rsidP="00926567">
            <w:pPr>
              <w:spacing w:before="60" w:after="60"/>
              <w:rPr>
                <w:b/>
                <w:bCs/>
                <w:color w:val="FFFFFF" w:themeColor="background1"/>
              </w:rPr>
            </w:pPr>
            <w:r w:rsidRPr="00B57425">
              <w:rPr>
                <w:b/>
                <w:bCs/>
                <w:color w:val="FFFFFF" w:themeColor="background1"/>
              </w:rPr>
              <w:t>Applications to amend or end received</w:t>
            </w:r>
          </w:p>
        </w:tc>
        <w:tc>
          <w:tcPr>
            <w:tcW w:w="992" w:type="dxa"/>
            <w:shd w:val="clear" w:color="auto" w:fill="808080" w:themeFill="background1" w:themeFillShade="80"/>
            <w:vAlign w:val="center"/>
          </w:tcPr>
          <w:p w14:paraId="43294202" w14:textId="77777777" w:rsidR="009D790C" w:rsidRPr="005371FE" w:rsidRDefault="009D790C" w:rsidP="00926567">
            <w:pPr>
              <w:spacing w:before="60" w:after="60"/>
              <w:jc w:val="center"/>
              <w:rPr>
                <w:b/>
                <w:bCs/>
                <w:color w:val="FFFFFF" w:themeColor="background1"/>
              </w:rPr>
            </w:pPr>
            <w:r w:rsidRPr="005371FE">
              <w:rPr>
                <w:b/>
                <w:bCs/>
                <w:color w:val="FFFFFF" w:themeColor="background1"/>
              </w:rPr>
              <w:t>2020-21</w:t>
            </w:r>
          </w:p>
        </w:tc>
        <w:tc>
          <w:tcPr>
            <w:tcW w:w="992" w:type="dxa"/>
            <w:shd w:val="clear" w:color="auto" w:fill="808080" w:themeFill="background1" w:themeFillShade="80"/>
            <w:vAlign w:val="center"/>
          </w:tcPr>
          <w:p w14:paraId="20D61BC6" w14:textId="77777777" w:rsidR="009D790C" w:rsidRPr="005371FE" w:rsidRDefault="009D790C" w:rsidP="00926567">
            <w:pPr>
              <w:spacing w:before="60" w:after="60"/>
              <w:jc w:val="center"/>
              <w:rPr>
                <w:b/>
                <w:bCs/>
                <w:color w:val="FFFFFF" w:themeColor="background1"/>
              </w:rPr>
            </w:pPr>
            <w:r w:rsidRPr="005371FE">
              <w:rPr>
                <w:b/>
                <w:bCs/>
                <w:color w:val="FFFFFF" w:themeColor="background1"/>
              </w:rPr>
              <w:t>202</w:t>
            </w:r>
            <w:r>
              <w:rPr>
                <w:b/>
                <w:bCs/>
                <w:color w:val="FFFFFF" w:themeColor="background1"/>
              </w:rPr>
              <w:t>1</w:t>
            </w:r>
            <w:r w:rsidRPr="005371FE">
              <w:rPr>
                <w:b/>
                <w:bCs/>
                <w:color w:val="FFFFFF" w:themeColor="background1"/>
              </w:rPr>
              <w:t>-2</w:t>
            </w:r>
            <w:r>
              <w:rPr>
                <w:b/>
                <w:bCs/>
                <w:color w:val="FFFFFF" w:themeColor="background1"/>
              </w:rPr>
              <w:t>2</w:t>
            </w:r>
          </w:p>
        </w:tc>
      </w:tr>
      <w:tr w:rsidR="009D790C" w:rsidRPr="005371FE" w14:paraId="5D7FDD3B" w14:textId="77777777" w:rsidTr="00926567">
        <w:trPr>
          <w:trHeight w:val="300"/>
        </w:trPr>
        <w:tc>
          <w:tcPr>
            <w:tcW w:w="6521" w:type="dxa"/>
            <w:shd w:val="clear" w:color="auto" w:fill="auto"/>
            <w:vAlign w:val="center"/>
          </w:tcPr>
          <w:p w14:paraId="4393B2B8" w14:textId="77777777" w:rsidR="009D790C" w:rsidRPr="005371FE" w:rsidRDefault="009D790C" w:rsidP="00926567">
            <w:pPr>
              <w:spacing w:before="60" w:after="60"/>
            </w:pPr>
            <w:bookmarkStart w:id="8" w:name="_Hlk115186020"/>
            <w:r w:rsidRPr="005371FE">
              <w:t>Applications to amend or end received</w:t>
            </w:r>
            <w:bookmarkEnd w:id="8"/>
          </w:p>
        </w:tc>
        <w:tc>
          <w:tcPr>
            <w:tcW w:w="992" w:type="dxa"/>
            <w:shd w:val="clear" w:color="auto" w:fill="auto"/>
            <w:vAlign w:val="center"/>
          </w:tcPr>
          <w:p w14:paraId="143C1975" w14:textId="77777777" w:rsidR="009D790C" w:rsidRPr="008E6D22" w:rsidRDefault="009D790C" w:rsidP="00926567">
            <w:pPr>
              <w:spacing w:before="60" w:after="60"/>
              <w:jc w:val="right"/>
            </w:pPr>
            <w:r w:rsidRPr="008E6D22">
              <w:t>29</w:t>
            </w:r>
          </w:p>
        </w:tc>
        <w:tc>
          <w:tcPr>
            <w:tcW w:w="992" w:type="dxa"/>
            <w:shd w:val="clear" w:color="auto" w:fill="auto"/>
            <w:vAlign w:val="center"/>
          </w:tcPr>
          <w:p w14:paraId="60A96476" w14:textId="77777777" w:rsidR="009D790C" w:rsidRPr="008E6D22" w:rsidRDefault="009D790C" w:rsidP="00926567">
            <w:pPr>
              <w:spacing w:before="60" w:after="60"/>
              <w:jc w:val="right"/>
            </w:pPr>
            <w:r w:rsidRPr="008E6D22">
              <w:t>71</w:t>
            </w:r>
          </w:p>
        </w:tc>
      </w:tr>
    </w:tbl>
    <w:p w14:paraId="0D56FC86" w14:textId="77777777" w:rsidR="009D790C" w:rsidRPr="005371FE" w:rsidRDefault="009D790C" w:rsidP="009D790C"/>
    <w:p w14:paraId="5D225D38" w14:textId="77777777" w:rsidR="009D790C" w:rsidRPr="005371FE" w:rsidRDefault="009D790C" w:rsidP="009D790C">
      <w:pPr>
        <w:pStyle w:val="Heading3"/>
      </w:pPr>
      <w:r w:rsidRPr="005371FE">
        <w:t>Statistical reporting and analysis of referenced data</w:t>
      </w:r>
    </w:p>
    <w:p w14:paraId="0A5F248F" w14:textId="78073627" w:rsidR="009D790C" w:rsidRPr="005371FE" w:rsidRDefault="009D790C" w:rsidP="009D790C">
      <w:r w:rsidRPr="005371FE">
        <w:t xml:space="preserve">Additional statistical reporting and analysis of the data referenced in this chapter can be found at the Commission’s </w:t>
      </w:r>
      <w:r>
        <w:t>Non-financial performance outcomes</w:t>
      </w:r>
      <w:r w:rsidRPr="005371FE" w:rsidDel="00F70872">
        <w:t xml:space="preserve"> </w:t>
      </w:r>
      <w:r>
        <w:t>section of this report</w:t>
      </w:r>
      <w:r w:rsidR="00876255">
        <w:t>.</w:t>
      </w:r>
    </w:p>
    <w:p w14:paraId="01B68CB6" w14:textId="77777777" w:rsidR="009D790C" w:rsidRPr="005371FE" w:rsidRDefault="009D790C" w:rsidP="00CA500D"/>
    <w:p w14:paraId="33B9DF41" w14:textId="77777777" w:rsidR="00985896" w:rsidRPr="00771CB9" w:rsidRDefault="00985896" w:rsidP="00B96342"/>
    <w:sectPr w:rsidR="00985896" w:rsidRPr="00771CB9" w:rsidSect="003066FF">
      <w:headerReference w:type="default" r:id="rId12"/>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18A34" w14:textId="77777777" w:rsidR="00DF5D5B" w:rsidRDefault="00DF5D5B" w:rsidP="00176460">
      <w:pPr>
        <w:spacing w:after="0" w:line="240" w:lineRule="auto"/>
      </w:pPr>
      <w:r>
        <w:separator/>
      </w:r>
    </w:p>
  </w:endnote>
  <w:endnote w:type="continuationSeparator" w:id="0">
    <w:p w14:paraId="38231FBB" w14:textId="77777777" w:rsidR="00DF5D5B" w:rsidRDefault="00DF5D5B"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Calibri"/>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6987F" w14:textId="77777777" w:rsidR="00DF5D5B" w:rsidRDefault="00DF5D5B" w:rsidP="00176460">
      <w:pPr>
        <w:spacing w:after="0" w:line="240" w:lineRule="auto"/>
      </w:pPr>
      <w:r>
        <w:separator/>
      </w:r>
    </w:p>
  </w:footnote>
  <w:footnote w:type="continuationSeparator" w:id="0">
    <w:p w14:paraId="125E33FF" w14:textId="77777777" w:rsidR="00DF5D5B" w:rsidRDefault="00DF5D5B" w:rsidP="00176460">
      <w:pPr>
        <w:spacing w:after="0" w:line="240" w:lineRule="auto"/>
      </w:pPr>
      <w:r>
        <w:continuationSeparator/>
      </w:r>
    </w:p>
  </w:footnote>
  <w:footnote w:id="1">
    <w:p w14:paraId="37B39924" w14:textId="77777777" w:rsidR="009D790C" w:rsidRDefault="009D790C" w:rsidP="009D790C">
      <w:r>
        <w:rPr>
          <w:rStyle w:val="FootnoteReference"/>
        </w:rPr>
        <w:footnoteRef/>
      </w:r>
      <w:r>
        <w:t xml:space="preserve"> </w:t>
      </w:r>
      <w:r w:rsidRPr="00416FB6">
        <w:rPr>
          <w:rStyle w:val="FootnoteReference"/>
          <w:rFonts w:eastAsia="Times New Roman" w:cs="Times New Roman"/>
          <w:szCs w:val="20"/>
          <w:lang w:val="en-GB"/>
        </w:rPr>
        <w:t>The number of sittings weeks does not include two special conferences convened outside of the normal conference sitting schedule. The FRC became aware of a situation that was detrimental to the wellbeing of family members and facilitated early intervention and access to services.</w:t>
      </w:r>
    </w:p>
    <w:p w14:paraId="0006D173" w14:textId="77777777" w:rsidR="009D790C" w:rsidRPr="00416FB6" w:rsidRDefault="009D790C" w:rsidP="009D790C">
      <w:pPr>
        <w:pStyle w:val="FootnoteText"/>
        <w:rPr>
          <w:lang w:val="en-US"/>
        </w:rPr>
      </w:pPr>
    </w:p>
  </w:footnote>
  <w:footnote w:id="2">
    <w:p w14:paraId="209DD450" w14:textId="77777777" w:rsidR="009D790C" w:rsidRPr="00BD4AC6" w:rsidRDefault="009D790C" w:rsidP="009D790C">
      <w:pPr>
        <w:pStyle w:val="FootnoteText"/>
        <w:rPr>
          <w:vertAlign w:val="superscript"/>
          <w:lang w:val="en-AU"/>
        </w:rPr>
      </w:pPr>
      <w:r w:rsidRPr="00BD4AC6">
        <w:rPr>
          <w:rStyle w:val="FootnoteReference"/>
        </w:rPr>
        <w:footnoteRef/>
      </w:r>
      <w:r w:rsidRPr="00BD4AC6">
        <w:rPr>
          <w:vertAlign w:val="superscript"/>
        </w:rPr>
        <w:t xml:space="preserve"> </w:t>
      </w:r>
      <w:r w:rsidRPr="00BD4AC6">
        <w:rPr>
          <w:rStyle w:val="FootnoteReference"/>
        </w:rPr>
        <w:t>A pool of Local Commissioners for each welfare reform community area are appointed by Governor in Council for a term: section 12(2) and (3) of the FRC Act.</w:t>
      </w:r>
    </w:p>
  </w:footnote>
  <w:footnote w:id="3">
    <w:p w14:paraId="0A1DA988" w14:textId="77777777" w:rsidR="00A92006" w:rsidRPr="00EE5BEF" w:rsidRDefault="00A92006" w:rsidP="00352CE7">
      <w:pPr>
        <w:pStyle w:val="FootnoteText"/>
        <w:spacing w:after="0" w:line="240" w:lineRule="auto"/>
        <w:rPr>
          <w:rStyle w:val="FootnoteReference"/>
        </w:rPr>
      </w:pPr>
      <w:r>
        <w:rPr>
          <w:rStyle w:val="FootnoteReference"/>
        </w:rPr>
        <w:footnoteRef/>
      </w:r>
      <w:r>
        <w:t xml:space="preserve"> </w:t>
      </w:r>
      <w:r w:rsidRPr="006268DA">
        <w:rPr>
          <w:rStyle w:val="FootnoteReference"/>
        </w:rPr>
        <w:t xml:space="preserve">Not included in this count is an application that was received within 2021-22 and was deemed as refused after </w:t>
      </w:r>
      <w:r w:rsidRPr="003E3B80">
        <w:rPr>
          <w:vertAlign w:val="superscript"/>
        </w:rPr>
        <w:t>two</w:t>
      </w:r>
      <w:r w:rsidRPr="006268DA">
        <w:rPr>
          <w:rStyle w:val="FootnoteReference"/>
        </w:rPr>
        <w:t xml:space="preserve"> months had passed under section 101(1) of the FRC Act. In the</w:t>
      </w:r>
      <w:r>
        <w:t xml:space="preserve"> </w:t>
      </w:r>
      <w:r w:rsidRPr="003E3B80">
        <w:rPr>
          <w:vertAlign w:val="superscript"/>
        </w:rPr>
        <w:t>two</w:t>
      </w:r>
      <w:r>
        <w:t xml:space="preserve"> </w:t>
      </w:r>
      <w:r w:rsidRPr="006268DA">
        <w:rPr>
          <w:rStyle w:val="FootnoteReference"/>
        </w:rPr>
        <w:t>months after the application was received the FRC attempted unsuccessfully to serve the client to attend a hearing.</w:t>
      </w:r>
    </w:p>
  </w:footnote>
  <w:footnote w:id="4">
    <w:p w14:paraId="2EFD7E61" w14:textId="77777777" w:rsidR="00A92006" w:rsidRPr="00EE5BEF" w:rsidRDefault="00A92006" w:rsidP="00352CE7">
      <w:pPr>
        <w:pStyle w:val="FootnoteText"/>
        <w:spacing w:after="0" w:line="240" w:lineRule="auto"/>
        <w:rPr>
          <w:lang w:val="en-US"/>
        </w:rPr>
      </w:pPr>
      <w:r>
        <w:rPr>
          <w:rStyle w:val="FootnoteReference"/>
        </w:rPr>
        <w:footnoteRef/>
      </w:r>
      <w:r w:rsidRPr="00EE5BEF">
        <w:rPr>
          <w:rStyle w:val="FootnoteReference"/>
        </w:rPr>
        <w:t xml:space="preserve"> Eighteen amend</w:t>
      </w:r>
      <w:r>
        <w:rPr>
          <w:rStyle w:val="FootnoteReference"/>
        </w:rPr>
        <w:t>/</w:t>
      </w:r>
      <w:r w:rsidRPr="00EE5BEF">
        <w:rPr>
          <w:rStyle w:val="FootnoteReference"/>
        </w:rPr>
        <w:t xml:space="preserve">end applications for family responsibilities agreements or orders were received and decided in 2021-22. One additional application </w:t>
      </w:r>
      <w:r>
        <w:rPr>
          <w:rStyle w:val="FootnoteReference"/>
        </w:rPr>
        <w:t>w</w:t>
      </w:r>
      <w:r w:rsidRPr="00EE5BEF">
        <w:rPr>
          <w:rStyle w:val="FootnoteReference"/>
        </w:rPr>
        <w:t>hich was received at the end of 2020-21 was decided</w:t>
      </w:r>
      <w:r w:rsidRPr="00044468">
        <w:rPr>
          <w:rStyle w:val="FootnoteReference"/>
        </w:rPr>
        <w:t xml:space="preserve"> also</w:t>
      </w:r>
      <w:r w:rsidRPr="00EE5BEF">
        <w:rPr>
          <w:rStyle w:val="FootnoteReference"/>
        </w:rPr>
        <w:t xml:space="preserve"> in 2021-22.</w:t>
      </w:r>
    </w:p>
  </w:footnote>
  <w:footnote w:id="5">
    <w:p w14:paraId="77FED02A" w14:textId="77777777" w:rsidR="00E46BAE" w:rsidRPr="00BD4AC6" w:rsidRDefault="00E46BAE" w:rsidP="00E46BAE">
      <w:pPr>
        <w:pStyle w:val="FootnoteText"/>
        <w:rPr>
          <w:vertAlign w:val="superscript"/>
        </w:rPr>
      </w:pPr>
      <w:r w:rsidRPr="00BD4AC6">
        <w:rPr>
          <w:rStyle w:val="FootnoteReference"/>
        </w:rPr>
        <w:footnoteRef/>
      </w:r>
      <w:r w:rsidRPr="00BD4AC6">
        <w:rPr>
          <w:rStyle w:val="FootnoteReference"/>
        </w:rPr>
        <w:t xml:space="preserve"> A case plan can have multiple referrals e.g. a client may be referred to both the Wellbeing Centre and MPower under the same case plan.</w:t>
      </w:r>
    </w:p>
  </w:footnote>
  <w:footnote w:id="6">
    <w:p w14:paraId="2CE961C1" w14:textId="77777777" w:rsidR="009D790C" w:rsidRPr="00BD4AC6" w:rsidRDefault="009D790C" w:rsidP="009D790C">
      <w:pPr>
        <w:pStyle w:val="FootnoteText"/>
        <w:rPr>
          <w:vertAlign w:val="superscript"/>
        </w:rPr>
      </w:pPr>
      <w:r w:rsidRPr="00BD4AC6">
        <w:rPr>
          <w:rStyle w:val="FootnoteReference"/>
        </w:rPr>
        <w:footnoteRef/>
      </w:r>
      <w:r w:rsidRPr="00BD4AC6">
        <w:rPr>
          <w:rStyle w:val="FootnoteReference"/>
        </w:rPr>
        <w:t xml:space="preserve"> A case plan can have multiple referrals e.g. a client may be referred to both the Wellbeing Centre and MPower under the same case plan.</w:t>
      </w:r>
    </w:p>
  </w:footnote>
  <w:footnote w:id="7">
    <w:p w14:paraId="1057EA01" w14:textId="77777777" w:rsidR="009D790C" w:rsidRPr="008E6D22" w:rsidRDefault="009D790C" w:rsidP="009D790C">
      <w:pPr>
        <w:pStyle w:val="FootnoteText"/>
        <w:rPr>
          <w:rStyle w:val="FootnoteReference"/>
        </w:rPr>
      </w:pPr>
      <w:r w:rsidRPr="008E6D22">
        <w:rPr>
          <w:rStyle w:val="FootnoteReference"/>
        </w:rPr>
        <w:footnoteRef/>
      </w:r>
      <w:r w:rsidRPr="008E6D22">
        <w:t xml:space="preserve"> </w:t>
      </w:r>
      <w:r w:rsidRPr="008E6D22">
        <w:rPr>
          <w:rStyle w:val="FootnoteReference"/>
        </w:rPr>
        <w:t>This figure also includes two clients who were placed on a CCP and on a VIM in 2019-20 and reported in the second table on the next page.</w:t>
      </w:r>
    </w:p>
  </w:footnote>
  <w:footnote w:id="8">
    <w:p w14:paraId="17B8E761" w14:textId="77777777" w:rsidR="009D790C" w:rsidRPr="008E6D22" w:rsidRDefault="009D790C" w:rsidP="009D790C">
      <w:pPr>
        <w:pStyle w:val="FootnoteText"/>
        <w:rPr>
          <w:rStyle w:val="FootnoteReference"/>
        </w:rPr>
      </w:pPr>
      <w:r w:rsidRPr="008E6D22">
        <w:rPr>
          <w:rStyle w:val="FootnoteReference"/>
        </w:rPr>
        <w:footnoteRef/>
      </w:r>
      <w:r w:rsidRPr="008E6D22">
        <w:rPr>
          <w:rStyle w:val="FootnoteReference"/>
        </w:rPr>
        <w:t xml:space="preserve"> This figure also includes 32 clients who were placed on a CCP and on a VIM in 2020-21 and reported in the second table on the next page.</w:t>
      </w:r>
    </w:p>
  </w:footnote>
  <w:footnote w:id="9">
    <w:p w14:paraId="2B9144DD" w14:textId="77777777" w:rsidR="009D790C" w:rsidRPr="003F507B" w:rsidRDefault="009D790C" w:rsidP="009D790C">
      <w:pPr>
        <w:pStyle w:val="FootnoteText"/>
        <w:rPr>
          <w:lang w:val="en-US"/>
        </w:rPr>
      </w:pPr>
      <w:r w:rsidRPr="008E6D22">
        <w:rPr>
          <w:rStyle w:val="FootnoteReference"/>
        </w:rPr>
        <w:footnoteRef/>
      </w:r>
      <w:r w:rsidRPr="008E6D22">
        <w:rPr>
          <w:rStyle w:val="FootnoteReference"/>
        </w:rPr>
        <w:t xml:space="preserve"> This figure also includes 51 clients who were placed on a CCP and on a VIM in 2021-22 and reported in the second table on the next page.</w:t>
      </w:r>
    </w:p>
  </w:footnote>
  <w:footnote w:id="10">
    <w:p w14:paraId="7F0B96D7" w14:textId="293F48E4" w:rsidR="009D790C" w:rsidRPr="00C77AFB" w:rsidRDefault="009D790C" w:rsidP="009D790C">
      <w:pPr>
        <w:pStyle w:val="FootnoteText"/>
        <w:rPr>
          <w:rStyle w:val="FootnoteReference"/>
        </w:rPr>
      </w:pPr>
      <w:r>
        <w:rPr>
          <w:rStyle w:val="FootnoteReference"/>
        </w:rPr>
        <w:footnoteRef/>
      </w:r>
      <w:r w:rsidRPr="00C77AFB">
        <w:rPr>
          <w:rStyle w:val="FootnoteReference"/>
        </w:rPr>
        <w:t xml:space="preserve"> Counts in this table only include clients who had a combination of a VIM and a </w:t>
      </w:r>
      <w:r w:rsidR="006114AA">
        <w:rPr>
          <w:rStyle w:val="FootnoteReference"/>
        </w:rPr>
        <w:t>C</w:t>
      </w:r>
      <w:r w:rsidR="006114AA" w:rsidRPr="006114AA">
        <w:rPr>
          <w:rStyle w:val="FootnoteReference"/>
        </w:rPr>
        <w:t>CP</w:t>
      </w:r>
      <w:r w:rsidRPr="00C77AFB">
        <w:rPr>
          <w:rStyle w:val="FootnoteReference"/>
        </w:rPr>
        <w:t xml:space="preserve"> and no </w:t>
      </w:r>
      <w:r w:rsidR="006114AA">
        <w:rPr>
          <w:rStyle w:val="FootnoteReference"/>
        </w:rPr>
        <w:t>C</w:t>
      </w:r>
      <w:r w:rsidR="006114AA" w:rsidRPr="006114AA">
        <w:rPr>
          <w:rStyle w:val="FootnoteReference"/>
        </w:rPr>
        <w:t>IM</w:t>
      </w:r>
      <w:r w:rsidRPr="00C77AFB">
        <w:rPr>
          <w:rStyle w:val="FootnoteReference"/>
        </w:rPr>
        <w:t xml:space="preserve"> or </w:t>
      </w:r>
      <w:r w:rsidR="006114AA">
        <w:rPr>
          <w:rStyle w:val="FootnoteReference"/>
        </w:rPr>
        <w:t>V</w:t>
      </w:r>
      <w:r w:rsidR="006114AA" w:rsidRPr="006114AA">
        <w:rPr>
          <w:rStyle w:val="FootnoteReference"/>
        </w:rPr>
        <w:t>CP</w:t>
      </w:r>
      <w:r w:rsidRPr="00C77AFB">
        <w:rPr>
          <w:rStyle w:val="FootnoteReference"/>
        </w:rPr>
        <w:t>.</w:t>
      </w:r>
    </w:p>
  </w:footnote>
  <w:footnote w:id="11">
    <w:p w14:paraId="7AA6BE06" w14:textId="37FAA075" w:rsidR="009D790C" w:rsidRPr="00C77AFB" w:rsidRDefault="009D790C" w:rsidP="009D790C">
      <w:pPr>
        <w:pStyle w:val="FootnoteText"/>
        <w:rPr>
          <w:lang w:val="en-US"/>
        </w:rPr>
      </w:pPr>
      <w:r>
        <w:rPr>
          <w:rStyle w:val="FootnoteReference"/>
        </w:rPr>
        <w:footnoteRef/>
      </w:r>
      <w:r w:rsidRPr="00C77AFB">
        <w:rPr>
          <w:rStyle w:val="FootnoteReference"/>
        </w:rPr>
        <w:t xml:space="preserve"> Counts in this table only </w:t>
      </w:r>
      <w:r w:rsidR="00210933">
        <w:rPr>
          <w:rStyle w:val="FootnoteReference"/>
        </w:rPr>
        <w:t>include</w:t>
      </w:r>
      <w:r w:rsidRPr="00C77AFB">
        <w:rPr>
          <w:rStyle w:val="FootnoteReference"/>
        </w:rPr>
        <w:t xml:space="preserve"> clients who had a </w:t>
      </w:r>
      <w:r w:rsidR="006114AA">
        <w:rPr>
          <w:rStyle w:val="FootnoteReference"/>
        </w:rPr>
        <w:t>V</w:t>
      </w:r>
      <w:r w:rsidR="006114AA" w:rsidRPr="006114AA">
        <w:rPr>
          <w:rStyle w:val="FootnoteReference"/>
        </w:rPr>
        <w:t>IM</w:t>
      </w:r>
      <w:r w:rsidRPr="00C77AFB">
        <w:rPr>
          <w:rStyle w:val="FootnoteReference"/>
        </w:rPr>
        <w:t xml:space="preserve"> or </w:t>
      </w:r>
      <w:r w:rsidR="006114AA">
        <w:rPr>
          <w:rStyle w:val="FootnoteReference"/>
        </w:rPr>
        <w:t>V</w:t>
      </w:r>
      <w:r w:rsidR="006114AA" w:rsidRPr="006114AA">
        <w:rPr>
          <w:rStyle w:val="FootnoteReference"/>
        </w:rPr>
        <w:t>CP</w:t>
      </w:r>
      <w:r w:rsidRPr="00C77AFB">
        <w:rPr>
          <w:rStyle w:val="FootnoteReference"/>
        </w:rPr>
        <w:t xml:space="preserve"> and no </w:t>
      </w:r>
      <w:r w:rsidR="006114AA">
        <w:rPr>
          <w:rStyle w:val="FootnoteReference"/>
        </w:rPr>
        <w:t>C</w:t>
      </w:r>
      <w:r w:rsidR="006114AA" w:rsidRPr="006114AA">
        <w:rPr>
          <w:rStyle w:val="FootnoteReference"/>
        </w:rPr>
        <w:t xml:space="preserve">IM </w:t>
      </w:r>
      <w:r w:rsidRPr="00C77AFB">
        <w:rPr>
          <w:rStyle w:val="FootnoteReference"/>
        </w:rPr>
        <w:t xml:space="preserve">or </w:t>
      </w:r>
      <w:r w:rsidR="006114AA">
        <w:rPr>
          <w:rStyle w:val="FootnoteReference"/>
        </w:rPr>
        <w:t>C</w:t>
      </w:r>
      <w:r w:rsidR="006114AA" w:rsidRPr="006114AA">
        <w:rPr>
          <w:rStyle w:val="FootnoteReference"/>
        </w:rPr>
        <w:t>CP</w:t>
      </w:r>
      <w:r w:rsidRPr="00C77AFB">
        <w:rPr>
          <w:rStyle w:val="FootnoteReferenc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F720" w14:textId="77777777" w:rsidR="00B96342" w:rsidRDefault="00B96342" w:rsidP="00B96342">
    <w:pPr>
      <w:pStyle w:val="Header"/>
    </w:pPr>
  </w:p>
  <w:p w14:paraId="09A0669D" w14:textId="77777777" w:rsidR="00B96342" w:rsidRDefault="00B96342" w:rsidP="00B96342">
    <w:pPr>
      <w:pStyle w:val="Header"/>
    </w:pPr>
  </w:p>
  <w:p w14:paraId="698D3C4C" w14:textId="77777777" w:rsidR="00B96342" w:rsidRDefault="00B96342" w:rsidP="00B96342">
    <w:pPr>
      <w:pStyle w:val="Header"/>
    </w:pPr>
  </w:p>
  <w:p w14:paraId="6A4F1057" w14:textId="77777777" w:rsidR="00B96342" w:rsidRDefault="00B96342" w:rsidP="00B96342">
    <w:pPr>
      <w:pStyle w:val="Header"/>
    </w:pPr>
  </w:p>
  <w:p w14:paraId="7632C68C" w14:textId="77777777" w:rsidR="00B96342" w:rsidRDefault="00B96342" w:rsidP="00B96342">
    <w:pPr>
      <w:pStyle w:val="Header"/>
    </w:pPr>
  </w:p>
  <w:p w14:paraId="14F7ED1C" w14:textId="77777777" w:rsidR="00B96342" w:rsidRPr="00120A08" w:rsidRDefault="00B96342" w:rsidP="00B96342">
    <w:pPr>
      <w:pStyle w:val="Header"/>
    </w:pPr>
    <w:r>
      <w:t>FRC registry and decision-making functions</w:t>
    </w:r>
  </w:p>
  <w:p w14:paraId="198C5478" w14:textId="77777777" w:rsidR="00647BC6" w:rsidRPr="0034342A" w:rsidRDefault="00647BC6" w:rsidP="00343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FD37DB"/>
    <w:multiLevelType w:val="hybridMultilevel"/>
    <w:tmpl w:val="07C0C1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08F12BF0"/>
    <w:multiLevelType w:val="hybridMultilevel"/>
    <w:tmpl w:val="C8527CE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9"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B374D2"/>
    <w:multiLevelType w:val="hybridMultilevel"/>
    <w:tmpl w:val="0E54F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5" w15:restartNumberingAfterBreak="0">
    <w:nsid w:val="29BE116A"/>
    <w:multiLevelType w:val="hybridMultilevel"/>
    <w:tmpl w:val="835E3B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701316"/>
    <w:multiLevelType w:val="hybridMultilevel"/>
    <w:tmpl w:val="4056802C"/>
    <w:lvl w:ilvl="0" w:tplc="0C090001">
      <w:start w:val="1"/>
      <w:numFmt w:val="bullet"/>
      <w:lvlText w:val=""/>
      <w:lvlJc w:val="left"/>
      <w:pPr>
        <w:ind w:left="720" w:hanging="360"/>
      </w:pPr>
      <w:rPr>
        <w:rFonts w:ascii="Symbol" w:hAnsi="Symbol" w:hint="default"/>
      </w:rPr>
    </w:lvl>
    <w:lvl w:ilvl="1" w:tplc="E892AD34">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9D4E6D"/>
    <w:multiLevelType w:val="hybridMultilevel"/>
    <w:tmpl w:val="F468E3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4"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4C4C5A"/>
    <w:multiLevelType w:val="hybridMultilevel"/>
    <w:tmpl w:val="A91C12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B04D45"/>
    <w:multiLevelType w:val="hybridMultilevel"/>
    <w:tmpl w:val="3C20F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C464F3"/>
    <w:multiLevelType w:val="hybridMultilevel"/>
    <w:tmpl w:val="55AE7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E659BA"/>
    <w:multiLevelType w:val="hybridMultilevel"/>
    <w:tmpl w:val="03C4D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E3E1FB2"/>
    <w:multiLevelType w:val="hybridMultilevel"/>
    <w:tmpl w:val="70F03738"/>
    <w:lvl w:ilvl="0" w:tplc="0C090001">
      <w:start w:val="1"/>
      <w:numFmt w:val="bullet"/>
      <w:lvlText w:val=""/>
      <w:lvlJc w:val="left"/>
      <w:pPr>
        <w:ind w:left="357" w:hanging="360"/>
      </w:pPr>
      <w:rPr>
        <w:rFonts w:ascii="Symbol" w:hAnsi="Symbol" w:hint="default"/>
      </w:rPr>
    </w:lvl>
    <w:lvl w:ilvl="1" w:tplc="0C090003">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36" w15:restartNumberingAfterBreak="0">
    <w:nsid w:val="6F350DD4"/>
    <w:multiLevelType w:val="hybridMultilevel"/>
    <w:tmpl w:val="7452D5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1B1642"/>
    <w:multiLevelType w:val="hybridMultilevel"/>
    <w:tmpl w:val="03926C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0"/>
  </w:num>
  <w:num w:numId="4">
    <w:abstractNumId w:val="14"/>
  </w:num>
  <w:num w:numId="5">
    <w:abstractNumId w:val="24"/>
  </w:num>
  <w:num w:numId="6">
    <w:abstractNumId w:val="1"/>
  </w:num>
  <w:num w:numId="7">
    <w:abstractNumId w:val="0"/>
  </w:num>
  <w:num w:numId="8">
    <w:abstractNumId w:val="29"/>
  </w:num>
  <w:num w:numId="9">
    <w:abstractNumId w:val="25"/>
  </w:num>
  <w:num w:numId="10">
    <w:abstractNumId w:val="32"/>
  </w:num>
  <w:num w:numId="11">
    <w:abstractNumId w:val="4"/>
  </w:num>
  <w:num w:numId="12">
    <w:abstractNumId w:val="7"/>
  </w:num>
  <w:num w:numId="13">
    <w:abstractNumId w:val="23"/>
  </w:num>
  <w:num w:numId="14">
    <w:abstractNumId w:val="26"/>
  </w:num>
  <w:num w:numId="15">
    <w:abstractNumId w:val="9"/>
  </w:num>
  <w:num w:numId="16">
    <w:abstractNumId w:val="28"/>
  </w:num>
  <w:num w:numId="17">
    <w:abstractNumId w:val="41"/>
  </w:num>
  <w:num w:numId="18">
    <w:abstractNumId w:val="20"/>
  </w:num>
  <w:num w:numId="19">
    <w:abstractNumId w:val="11"/>
  </w:num>
  <w:num w:numId="20">
    <w:abstractNumId w:val="17"/>
  </w:num>
  <w:num w:numId="21">
    <w:abstractNumId w:val="31"/>
  </w:num>
  <w:num w:numId="22">
    <w:abstractNumId w:val="27"/>
  </w:num>
  <w:num w:numId="23">
    <w:abstractNumId w:val="6"/>
  </w:num>
  <w:num w:numId="24">
    <w:abstractNumId w:val="16"/>
  </w:num>
  <w:num w:numId="25">
    <w:abstractNumId w:val="35"/>
  </w:num>
  <w:num w:numId="26">
    <w:abstractNumId w:val="8"/>
  </w:num>
  <w:num w:numId="27">
    <w:abstractNumId w:val="5"/>
  </w:num>
  <w:num w:numId="28">
    <w:abstractNumId w:val="21"/>
  </w:num>
  <w:num w:numId="29">
    <w:abstractNumId w:val="13"/>
  </w:num>
  <w:num w:numId="30">
    <w:abstractNumId w:val="18"/>
  </w:num>
  <w:num w:numId="31">
    <w:abstractNumId w:val="33"/>
  </w:num>
  <w:num w:numId="32">
    <w:abstractNumId w:val="30"/>
  </w:num>
  <w:num w:numId="33">
    <w:abstractNumId w:val="19"/>
  </w:num>
  <w:num w:numId="34">
    <w:abstractNumId w:val="36"/>
  </w:num>
  <w:num w:numId="35">
    <w:abstractNumId w:val="37"/>
  </w:num>
  <w:num w:numId="36">
    <w:abstractNumId w:val="15"/>
  </w:num>
  <w:num w:numId="37">
    <w:abstractNumId w:val="40"/>
  </w:num>
  <w:num w:numId="38">
    <w:abstractNumId w:val="39"/>
  </w:num>
  <w:num w:numId="39">
    <w:abstractNumId w:val="38"/>
  </w:num>
  <w:num w:numId="40">
    <w:abstractNumId w:val="34"/>
  </w:num>
  <w:num w:numId="41">
    <w:abstractNumId w:val="22"/>
  </w:num>
  <w:num w:numId="42">
    <w:abstractNumId w:val="12"/>
  </w:num>
  <w:num w:numId="43">
    <w:abstractNumId w:val="7"/>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2939"/>
    <w:rsid w:val="000038D6"/>
    <w:rsid w:val="00004E45"/>
    <w:rsid w:val="00004F4A"/>
    <w:rsid w:val="00005289"/>
    <w:rsid w:val="00007464"/>
    <w:rsid w:val="00011D65"/>
    <w:rsid w:val="0001315E"/>
    <w:rsid w:val="00017901"/>
    <w:rsid w:val="00017FC8"/>
    <w:rsid w:val="00021998"/>
    <w:rsid w:val="00022F7A"/>
    <w:rsid w:val="00023834"/>
    <w:rsid w:val="000249D6"/>
    <w:rsid w:val="00027E78"/>
    <w:rsid w:val="00030742"/>
    <w:rsid w:val="00030B8A"/>
    <w:rsid w:val="00031A5E"/>
    <w:rsid w:val="00031D97"/>
    <w:rsid w:val="00032E15"/>
    <w:rsid w:val="0003494B"/>
    <w:rsid w:val="000353D9"/>
    <w:rsid w:val="00040168"/>
    <w:rsid w:val="000403B3"/>
    <w:rsid w:val="00041DBF"/>
    <w:rsid w:val="000430A1"/>
    <w:rsid w:val="0004418C"/>
    <w:rsid w:val="000460FB"/>
    <w:rsid w:val="00047560"/>
    <w:rsid w:val="00050809"/>
    <w:rsid w:val="00051398"/>
    <w:rsid w:val="000515A2"/>
    <w:rsid w:val="00051BED"/>
    <w:rsid w:val="00054F1A"/>
    <w:rsid w:val="000557BB"/>
    <w:rsid w:val="0006134A"/>
    <w:rsid w:val="00063B79"/>
    <w:rsid w:val="00064660"/>
    <w:rsid w:val="000650F7"/>
    <w:rsid w:val="00065ADC"/>
    <w:rsid w:val="0006609B"/>
    <w:rsid w:val="00066DE4"/>
    <w:rsid w:val="00067C54"/>
    <w:rsid w:val="000718B6"/>
    <w:rsid w:val="00072DC2"/>
    <w:rsid w:val="000733E4"/>
    <w:rsid w:val="00073564"/>
    <w:rsid w:val="00074CF4"/>
    <w:rsid w:val="000762D4"/>
    <w:rsid w:val="00076393"/>
    <w:rsid w:val="0007689C"/>
    <w:rsid w:val="000771C8"/>
    <w:rsid w:val="00077B74"/>
    <w:rsid w:val="00080012"/>
    <w:rsid w:val="00080033"/>
    <w:rsid w:val="00080AE1"/>
    <w:rsid w:val="000831BD"/>
    <w:rsid w:val="000845D0"/>
    <w:rsid w:val="0008620F"/>
    <w:rsid w:val="000862F3"/>
    <w:rsid w:val="00087153"/>
    <w:rsid w:val="00093A38"/>
    <w:rsid w:val="00093F3F"/>
    <w:rsid w:val="00096A94"/>
    <w:rsid w:val="00097525"/>
    <w:rsid w:val="000A0374"/>
    <w:rsid w:val="000A24AF"/>
    <w:rsid w:val="000A2998"/>
    <w:rsid w:val="000A42A6"/>
    <w:rsid w:val="000A4E58"/>
    <w:rsid w:val="000B15B1"/>
    <w:rsid w:val="000B2531"/>
    <w:rsid w:val="000B483C"/>
    <w:rsid w:val="000B5853"/>
    <w:rsid w:val="000B74C2"/>
    <w:rsid w:val="000B787F"/>
    <w:rsid w:val="000C1ED6"/>
    <w:rsid w:val="000C250A"/>
    <w:rsid w:val="000C269A"/>
    <w:rsid w:val="000C2CC8"/>
    <w:rsid w:val="000C3367"/>
    <w:rsid w:val="000C33AB"/>
    <w:rsid w:val="000C5308"/>
    <w:rsid w:val="000C6147"/>
    <w:rsid w:val="000C6A3A"/>
    <w:rsid w:val="000D198C"/>
    <w:rsid w:val="000D2108"/>
    <w:rsid w:val="000D5191"/>
    <w:rsid w:val="000D7DA8"/>
    <w:rsid w:val="000E07C1"/>
    <w:rsid w:val="000E3110"/>
    <w:rsid w:val="000E37EE"/>
    <w:rsid w:val="000E426A"/>
    <w:rsid w:val="000E478D"/>
    <w:rsid w:val="000E6FE4"/>
    <w:rsid w:val="000E71ED"/>
    <w:rsid w:val="000E7D7C"/>
    <w:rsid w:val="000F001E"/>
    <w:rsid w:val="000F09CD"/>
    <w:rsid w:val="000F0C3E"/>
    <w:rsid w:val="000F2415"/>
    <w:rsid w:val="000F29F4"/>
    <w:rsid w:val="00100A80"/>
    <w:rsid w:val="001021E4"/>
    <w:rsid w:val="00104270"/>
    <w:rsid w:val="00104BC4"/>
    <w:rsid w:val="00105822"/>
    <w:rsid w:val="00106E38"/>
    <w:rsid w:val="00107551"/>
    <w:rsid w:val="00110473"/>
    <w:rsid w:val="001155CD"/>
    <w:rsid w:val="00115C61"/>
    <w:rsid w:val="001161F7"/>
    <w:rsid w:val="00117E91"/>
    <w:rsid w:val="00120AFC"/>
    <w:rsid w:val="00121F13"/>
    <w:rsid w:val="001233A8"/>
    <w:rsid w:val="0013048C"/>
    <w:rsid w:val="001305A5"/>
    <w:rsid w:val="001333F0"/>
    <w:rsid w:val="0013497B"/>
    <w:rsid w:val="001355A5"/>
    <w:rsid w:val="001355D3"/>
    <w:rsid w:val="00135A94"/>
    <w:rsid w:val="00135D86"/>
    <w:rsid w:val="001372C7"/>
    <w:rsid w:val="00140BAC"/>
    <w:rsid w:val="00141A55"/>
    <w:rsid w:val="00142ED9"/>
    <w:rsid w:val="00143A35"/>
    <w:rsid w:val="00144AB5"/>
    <w:rsid w:val="001460BA"/>
    <w:rsid w:val="00152023"/>
    <w:rsid w:val="00153BB0"/>
    <w:rsid w:val="001569A9"/>
    <w:rsid w:val="001606AF"/>
    <w:rsid w:val="00160B0D"/>
    <w:rsid w:val="00165546"/>
    <w:rsid w:val="00165794"/>
    <w:rsid w:val="0016681B"/>
    <w:rsid w:val="00166D33"/>
    <w:rsid w:val="0016788C"/>
    <w:rsid w:val="00170939"/>
    <w:rsid w:val="0017122F"/>
    <w:rsid w:val="00171741"/>
    <w:rsid w:val="001755ED"/>
    <w:rsid w:val="00176460"/>
    <w:rsid w:val="001803B7"/>
    <w:rsid w:val="001816AB"/>
    <w:rsid w:val="001822CE"/>
    <w:rsid w:val="00184440"/>
    <w:rsid w:val="00185CAD"/>
    <w:rsid w:val="001907EB"/>
    <w:rsid w:val="001928E3"/>
    <w:rsid w:val="00192F0B"/>
    <w:rsid w:val="00193066"/>
    <w:rsid w:val="0019379D"/>
    <w:rsid w:val="001937FA"/>
    <w:rsid w:val="001952B7"/>
    <w:rsid w:val="001958BA"/>
    <w:rsid w:val="00197911"/>
    <w:rsid w:val="001A0120"/>
    <w:rsid w:val="001A2B28"/>
    <w:rsid w:val="001A36E3"/>
    <w:rsid w:val="001A444A"/>
    <w:rsid w:val="001A4A97"/>
    <w:rsid w:val="001A4E3E"/>
    <w:rsid w:val="001A5D2B"/>
    <w:rsid w:val="001A5DFE"/>
    <w:rsid w:val="001A706C"/>
    <w:rsid w:val="001B07A5"/>
    <w:rsid w:val="001B11BE"/>
    <w:rsid w:val="001B3060"/>
    <w:rsid w:val="001B53F0"/>
    <w:rsid w:val="001B6CCE"/>
    <w:rsid w:val="001B7200"/>
    <w:rsid w:val="001C1A86"/>
    <w:rsid w:val="001C2384"/>
    <w:rsid w:val="001C7BF2"/>
    <w:rsid w:val="001D03FA"/>
    <w:rsid w:val="001D492B"/>
    <w:rsid w:val="001D54AF"/>
    <w:rsid w:val="001E13C6"/>
    <w:rsid w:val="001E3006"/>
    <w:rsid w:val="001F0A0B"/>
    <w:rsid w:val="001F1B84"/>
    <w:rsid w:val="001F2EB6"/>
    <w:rsid w:val="001F33CF"/>
    <w:rsid w:val="001F6C0E"/>
    <w:rsid w:val="001F6EDE"/>
    <w:rsid w:val="00200F97"/>
    <w:rsid w:val="002010DB"/>
    <w:rsid w:val="00201D64"/>
    <w:rsid w:val="00201F48"/>
    <w:rsid w:val="0020270B"/>
    <w:rsid w:val="00205807"/>
    <w:rsid w:val="002064F8"/>
    <w:rsid w:val="0020675D"/>
    <w:rsid w:val="00207BBE"/>
    <w:rsid w:val="00210933"/>
    <w:rsid w:val="00210E59"/>
    <w:rsid w:val="00210F20"/>
    <w:rsid w:val="0021126A"/>
    <w:rsid w:val="00211E73"/>
    <w:rsid w:val="00214FE7"/>
    <w:rsid w:val="00215D36"/>
    <w:rsid w:val="002168A8"/>
    <w:rsid w:val="002200DD"/>
    <w:rsid w:val="002278EC"/>
    <w:rsid w:val="00232E1C"/>
    <w:rsid w:val="00235A8B"/>
    <w:rsid w:val="002366FC"/>
    <w:rsid w:val="002403D4"/>
    <w:rsid w:val="0024056B"/>
    <w:rsid w:val="002413ED"/>
    <w:rsid w:val="002435B7"/>
    <w:rsid w:val="00244953"/>
    <w:rsid w:val="00247AF8"/>
    <w:rsid w:val="00247FB3"/>
    <w:rsid w:val="00251BD7"/>
    <w:rsid w:val="00253177"/>
    <w:rsid w:val="00255AEC"/>
    <w:rsid w:val="00255D6E"/>
    <w:rsid w:val="00257731"/>
    <w:rsid w:val="002617C2"/>
    <w:rsid w:val="00263043"/>
    <w:rsid w:val="00263954"/>
    <w:rsid w:val="00263ABF"/>
    <w:rsid w:val="00263BD9"/>
    <w:rsid w:val="002655E6"/>
    <w:rsid w:val="00270528"/>
    <w:rsid w:val="0027220E"/>
    <w:rsid w:val="00272E6B"/>
    <w:rsid w:val="00274BB0"/>
    <w:rsid w:val="00274BC6"/>
    <w:rsid w:val="00282F0D"/>
    <w:rsid w:val="00283B59"/>
    <w:rsid w:val="002853A3"/>
    <w:rsid w:val="002866D0"/>
    <w:rsid w:val="0029025E"/>
    <w:rsid w:val="002930E2"/>
    <w:rsid w:val="00293B67"/>
    <w:rsid w:val="002942F8"/>
    <w:rsid w:val="002956DD"/>
    <w:rsid w:val="002959D5"/>
    <w:rsid w:val="00295A3F"/>
    <w:rsid w:val="00296EA0"/>
    <w:rsid w:val="002975D3"/>
    <w:rsid w:val="00297F90"/>
    <w:rsid w:val="002A0BD0"/>
    <w:rsid w:val="002A0D08"/>
    <w:rsid w:val="002A1591"/>
    <w:rsid w:val="002A20B4"/>
    <w:rsid w:val="002A2BC2"/>
    <w:rsid w:val="002A3197"/>
    <w:rsid w:val="002A33D3"/>
    <w:rsid w:val="002A4CBB"/>
    <w:rsid w:val="002A4E49"/>
    <w:rsid w:val="002A5096"/>
    <w:rsid w:val="002A5164"/>
    <w:rsid w:val="002A5F28"/>
    <w:rsid w:val="002A649F"/>
    <w:rsid w:val="002A741E"/>
    <w:rsid w:val="002B04ED"/>
    <w:rsid w:val="002B28AA"/>
    <w:rsid w:val="002B2B87"/>
    <w:rsid w:val="002B4530"/>
    <w:rsid w:val="002C013C"/>
    <w:rsid w:val="002C1AFC"/>
    <w:rsid w:val="002C1B40"/>
    <w:rsid w:val="002C2BFF"/>
    <w:rsid w:val="002C3252"/>
    <w:rsid w:val="002C34D4"/>
    <w:rsid w:val="002C6B30"/>
    <w:rsid w:val="002D0C16"/>
    <w:rsid w:val="002D1D93"/>
    <w:rsid w:val="002D33DB"/>
    <w:rsid w:val="002D37DA"/>
    <w:rsid w:val="002D6CD6"/>
    <w:rsid w:val="002E0070"/>
    <w:rsid w:val="002E0DE6"/>
    <w:rsid w:val="002E0E25"/>
    <w:rsid w:val="002E21BE"/>
    <w:rsid w:val="002E4FCB"/>
    <w:rsid w:val="002E566F"/>
    <w:rsid w:val="002E5E6F"/>
    <w:rsid w:val="002E7871"/>
    <w:rsid w:val="002E7C53"/>
    <w:rsid w:val="002F2786"/>
    <w:rsid w:val="002F4061"/>
    <w:rsid w:val="002F4349"/>
    <w:rsid w:val="002F53A8"/>
    <w:rsid w:val="002F6410"/>
    <w:rsid w:val="002F7594"/>
    <w:rsid w:val="003002F4"/>
    <w:rsid w:val="00300E8C"/>
    <w:rsid w:val="00301C1B"/>
    <w:rsid w:val="00302B0D"/>
    <w:rsid w:val="003052B1"/>
    <w:rsid w:val="003066FF"/>
    <w:rsid w:val="00307095"/>
    <w:rsid w:val="00310271"/>
    <w:rsid w:val="0031180F"/>
    <w:rsid w:val="003119D5"/>
    <w:rsid w:val="00313353"/>
    <w:rsid w:val="0031346A"/>
    <w:rsid w:val="00316485"/>
    <w:rsid w:val="00316B6D"/>
    <w:rsid w:val="003173E0"/>
    <w:rsid w:val="00320207"/>
    <w:rsid w:val="0032045E"/>
    <w:rsid w:val="00320CF4"/>
    <w:rsid w:val="003211D2"/>
    <w:rsid w:val="00321322"/>
    <w:rsid w:val="003248EC"/>
    <w:rsid w:val="00324A4D"/>
    <w:rsid w:val="00324BC2"/>
    <w:rsid w:val="003258B7"/>
    <w:rsid w:val="003259C9"/>
    <w:rsid w:val="003274F0"/>
    <w:rsid w:val="0032788C"/>
    <w:rsid w:val="003301B7"/>
    <w:rsid w:val="00330997"/>
    <w:rsid w:val="00332E15"/>
    <w:rsid w:val="003361A8"/>
    <w:rsid w:val="00341023"/>
    <w:rsid w:val="003416B5"/>
    <w:rsid w:val="00342867"/>
    <w:rsid w:val="00342BFA"/>
    <w:rsid w:val="0034342A"/>
    <w:rsid w:val="0034723A"/>
    <w:rsid w:val="00347F8B"/>
    <w:rsid w:val="00351852"/>
    <w:rsid w:val="00351947"/>
    <w:rsid w:val="00352BEA"/>
    <w:rsid w:val="00352CE7"/>
    <w:rsid w:val="00352D93"/>
    <w:rsid w:val="003535B1"/>
    <w:rsid w:val="00354076"/>
    <w:rsid w:val="00354BF8"/>
    <w:rsid w:val="00355A0D"/>
    <w:rsid w:val="00355D94"/>
    <w:rsid w:val="00364453"/>
    <w:rsid w:val="00364601"/>
    <w:rsid w:val="00364703"/>
    <w:rsid w:val="003651A0"/>
    <w:rsid w:val="00365514"/>
    <w:rsid w:val="00365D60"/>
    <w:rsid w:val="003669F7"/>
    <w:rsid w:val="003673F0"/>
    <w:rsid w:val="00367FEE"/>
    <w:rsid w:val="00372018"/>
    <w:rsid w:val="003731C7"/>
    <w:rsid w:val="003752E0"/>
    <w:rsid w:val="00375B89"/>
    <w:rsid w:val="00377FB0"/>
    <w:rsid w:val="00380329"/>
    <w:rsid w:val="0038237A"/>
    <w:rsid w:val="003823BF"/>
    <w:rsid w:val="0038254C"/>
    <w:rsid w:val="003825A2"/>
    <w:rsid w:val="00383C58"/>
    <w:rsid w:val="00386B04"/>
    <w:rsid w:val="00387A3A"/>
    <w:rsid w:val="003916F7"/>
    <w:rsid w:val="00391DA0"/>
    <w:rsid w:val="003923AD"/>
    <w:rsid w:val="0039323F"/>
    <w:rsid w:val="00394117"/>
    <w:rsid w:val="00394E0A"/>
    <w:rsid w:val="0039542C"/>
    <w:rsid w:val="00395FBC"/>
    <w:rsid w:val="00397AC5"/>
    <w:rsid w:val="003A0009"/>
    <w:rsid w:val="003A099B"/>
    <w:rsid w:val="003A0AB8"/>
    <w:rsid w:val="003A0C5C"/>
    <w:rsid w:val="003A1F56"/>
    <w:rsid w:val="003A4A56"/>
    <w:rsid w:val="003A6A25"/>
    <w:rsid w:val="003A7D99"/>
    <w:rsid w:val="003B42D9"/>
    <w:rsid w:val="003B72E5"/>
    <w:rsid w:val="003C0E96"/>
    <w:rsid w:val="003C1E5B"/>
    <w:rsid w:val="003C2D0B"/>
    <w:rsid w:val="003C3717"/>
    <w:rsid w:val="003C3C4C"/>
    <w:rsid w:val="003C75DF"/>
    <w:rsid w:val="003D0428"/>
    <w:rsid w:val="003D1426"/>
    <w:rsid w:val="003D23F7"/>
    <w:rsid w:val="003D5065"/>
    <w:rsid w:val="003D7737"/>
    <w:rsid w:val="003E09C0"/>
    <w:rsid w:val="003E1F2B"/>
    <w:rsid w:val="003E22D4"/>
    <w:rsid w:val="003E3B80"/>
    <w:rsid w:val="003E4D6E"/>
    <w:rsid w:val="003E51EB"/>
    <w:rsid w:val="003E5A32"/>
    <w:rsid w:val="003E65FE"/>
    <w:rsid w:val="003F02DA"/>
    <w:rsid w:val="003F0874"/>
    <w:rsid w:val="003F1B3A"/>
    <w:rsid w:val="003F1DF7"/>
    <w:rsid w:val="003F2BAD"/>
    <w:rsid w:val="003F34C7"/>
    <w:rsid w:val="003F42C4"/>
    <w:rsid w:val="003F59DF"/>
    <w:rsid w:val="004005CC"/>
    <w:rsid w:val="004006FA"/>
    <w:rsid w:val="00400CDE"/>
    <w:rsid w:val="00402E84"/>
    <w:rsid w:val="004036DD"/>
    <w:rsid w:val="00403D7B"/>
    <w:rsid w:val="00403E60"/>
    <w:rsid w:val="00404D34"/>
    <w:rsid w:val="0040551E"/>
    <w:rsid w:val="004056F3"/>
    <w:rsid w:val="00406A60"/>
    <w:rsid w:val="00406F83"/>
    <w:rsid w:val="00407097"/>
    <w:rsid w:val="004077D5"/>
    <w:rsid w:val="00407A0D"/>
    <w:rsid w:val="00407A57"/>
    <w:rsid w:val="00413E34"/>
    <w:rsid w:val="0041415B"/>
    <w:rsid w:val="00416C1F"/>
    <w:rsid w:val="00421E24"/>
    <w:rsid w:val="00423555"/>
    <w:rsid w:val="00424DA6"/>
    <w:rsid w:val="00426713"/>
    <w:rsid w:val="004304D6"/>
    <w:rsid w:val="00430B97"/>
    <w:rsid w:val="004329B4"/>
    <w:rsid w:val="00435753"/>
    <w:rsid w:val="00437359"/>
    <w:rsid w:val="004407C0"/>
    <w:rsid w:val="00440E87"/>
    <w:rsid w:val="004421A9"/>
    <w:rsid w:val="00442897"/>
    <w:rsid w:val="00442F6D"/>
    <w:rsid w:val="00443439"/>
    <w:rsid w:val="004434C4"/>
    <w:rsid w:val="00444367"/>
    <w:rsid w:val="004443FB"/>
    <w:rsid w:val="00446902"/>
    <w:rsid w:val="00447A19"/>
    <w:rsid w:val="004503DE"/>
    <w:rsid w:val="00452683"/>
    <w:rsid w:val="00455517"/>
    <w:rsid w:val="0046167D"/>
    <w:rsid w:val="00461724"/>
    <w:rsid w:val="00461E53"/>
    <w:rsid w:val="00462AD5"/>
    <w:rsid w:val="004650EA"/>
    <w:rsid w:val="00465B53"/>
    <w:rsid w:val="00465C44"/>
    <w:rsid w:val="00467DE8"/>
    <w:rsid w:val="00472745"/>
    <w:rsid w:val="00473114"/>
    <w:rsid w:val="00473BDB"/>
    <w:rsid w:val="00474457"/>
    <w:rsid w:val="004758C4"/>
    <w:rsid w:val="00476341"/>
    <w:rsid w:val="004807C5"/>
    <w:rsid w:val="004816EB"/>
    <w:rsid w:val="00482594"/>
    <w:rsid w:val="004912A0"/>
    <w:rsid w:val="00491768"/>
    <w:rsid w:val="004921CE"/>
    <w:rsid w:val="00494726"/>
    <w:rsid w:val="00494DB4"/>
    <w:rsid w:val="00495960"/>
    <w:rsid w:val="0049642B"/>
    <w:rsid w:val="004A2295"/>
    <w:rsid w:val="004A584A"/>
    <w:rsid w:val="004A5ACC"/>
    <w:rsid w:val="004A60B7"/>
    <w:rsid w:val="004A71BA"/>
    <w:rsid w:val="004A7E7A"/>
    <w:rsid w:val="004A7E84"/>
    <w:rsid w:val="004B03F3"/>
    <w:rsid w:val="004B0ABC"/>
    <w:rsid w:val="004B29FB"/>
    <w:rsid w:val="004B310B"/>
    <w:rsid w:val="004B4753"/>
    <w:rsid w:val="004B5B3B"/>
    <w:rsid w:val="004B76A6"/>
    <w:rsid w:val="004C2F14"/>
    <w:rsid w:val="004C60AD"/>
    <w:rsid w:val="004C7BBA"/>
    <w:rsid w:val="004D0EA5"/>
    <w:rsid w:val="004D32A3"/>
    <w:rsid w:val="004D3663"/>
    <w:rsid w:val="004D46DB"/>
    <w:rsid w:val="004D7CB0"/>
    <w:rsid w:val="004E041B"/>
    <w:rsid w:val="004E1082"/>
    <w:rsid w:val="004E16C2"/>
    <w:rsid w:val="004E1BB0"/>
    <w:rsid w:val="004E5E1B"/>
    <w:rsid w:val="004E7182"/>
    <w:rsid w:val="004E7D9F"/>
    <w:rsid w:val="004F44D4"/>
    <w:rsid w:val="004F4737"/>
    <w:rsid w:val="004F4CC3"/>
    <w:rsid w:val="004F4D5B"/>
    <w:rsid w:val="004F5031"/>
    <w:rsid w:val="004F5CC1"/>
    <w:rsid w:val="004F7FEC"/>
    <w:rsid w:val="00500545"/>
    <w:rsid w:val="005009DC"/>
    <w:rsid w:val="005017C1"/>
    <w:rsid w:val="00501964"/>
    <w:rsid w:val="0050413E"/>
    <w:rsid w:val="00504322"/>
    <w:rsid w:val="00504D03"/>
    <w:rsid w:val="00505AA7"/>
    <w:rsid w:val="005077E8"/>
    <w:rsid w:val="0051024A"/>
    <w:rsid w:val="005108A6"/>
    <w:rsid w:val="005125EE"/>
    <w:rsid w:val="0051400F"/>
    <w:rsid w:val="00514739"/>
    <w:rsid w:val="0051512D"/>
    <w:rsid w:val="00515A05"/>
    <w:rsid w:val="00516FE3"/>
    <w:rsid w:val="005215DA"/>
    <w:rsid w:val="00521A1B"/>
    <w:rsid w:val="00523382"/>
    <w:rsid w:val="00523939"/>
    <w:rsid w:val="00523ADE"/>
    <w:rsid w:val="005279B4"/>
    <w:rsid w:val="005307E4"/>
    <w:rsid w:val="0053085C"/>
    <w:rsid w:val="0053145F"/>
    <w:rsid w:val="0053217F"/>
    <w:rsid w:val="0053225D"/>
    <w:rsid w:val="00532D21"/>
    <w:rsid w:val="00533D0F"/>
    <w:rsid w:val="00534A4C"/>
    <w:rsid w:val="00535CAA"/>
    <w:rsid w:val="00536C63"/>
    <w:rsid w:val="00540F93"/>
    <w:rsid w:val="00542FE8"/>
    <w:rsid w:val="00544751"/>
    <w:rsid w:val="00545F83"/>
    <w:rsid w:val="00550CE8"/>
    <w:rsid w:val="005527DE"/>
    <w:rsid w:val="00552C5C"/>
    <w:rsid w:val="00553655"/>
    <w:rsid w:val="00555385"/>
    <w:rsid w:val="005553D1"/>
    <w:rsid w:val="00560CDC"/>
    <w:rsid w:val="0056186A"/>
    <w:rsid w:val="00563CB0"/>
    <w:rsid w:val="00565102"/>
    <w:rsid w:val="00570FED"/>
    <w:rsid w:val="00574944"/>
    <w:rsid w:val="00576156"/>
    <w:rsid w:val="00577EF7"/>
    <w:rsid w:val="00580D4F"/>
    <w:rsid w:val="00582209"/>
    <w:rsid w:val="00582B46"/>
    <w:rsid w:val="00583F5B"/>
    <w:rsid w:val="0058401A"/>
    <w:rsid w:val="005844E2"/>
    <w:rsid w:val="00585619"/>
    <w:rsid w:val="00585E05"/>
    <w:rsid w:val="00586175"/>
    <w:rsid w:val="0059030C"/>
    <w:rsid w:val="00591A7C"/>
    <w:rsid w:val="00592330"/>
    <w:rsid w:val="0059354F"/>
    <w:rsid w:val="00594041"/>
    <w:rsid w:val="00594458"/>
    <w:rsid w:val="005962FE"/>
    <w:rsid w:val="005964B6"/>
    <w:rsid w:val="00596DE7"/>
    <w:rsid w:val="00597F17"/>
    <w:rsid w:val="005A0534"/>
    <w:rsid w:val="005A0BCC"/>
    <w:rsid w:val="005A2D61"/>
    <w:rsid w:val="005A5284"/>
    <w:rsid w:val="005A67E8"/>
    <w:rsid w:val="005B2ED1"/>
    <w:rsid w:val="005B2FE5"/>
    <w:rsid w:val="005B346A"/>
    <w:rsid w:val="005B5DF6"/>
    <w:rsid w:val="005C0882"/>
    <w:rsid w:val="005C0FB3"/>
    <w:rsid w:val="005C37E1"/>
    <w:rsid w:val="005C61D7"/>
    <w:rsid w:val="005D03D5"/>
    <w:rsid w:val="005D2982"/>
    <w:rsid w:val="005D32E4"/>
    <w:rsid w:val="005E0A7E"/>
    <w:rsid w:val="005E33C4"/>
    <w:rsid w:val="005E3406"/>
    <w:rsid w:val="005E3509"/>
    <w:rsid w:val="005E374B"/>
    <w:rsid w:val="005E4497"/>
    <w:rsid w:val="005E7E0B"/>
    <w:rsid w:val="005F1132"/>
    <w:rsid w:val="005F1194"/>
    <w:rsid w:val="005F16AA"/>
    <w:rsid w:val="005F2A58"/>
    <w:rsid w:val="005F3C9F"/>
    <w:rsid w:val="005F3F15"/>
    <w:rsid w:val="005F439B"/>
    <w:rsid w:val="005F6B0B"/>
    <w:rsid w:val="005F6B9D"/>
    <w:rsid w:val="005F6D12"/>
    <w:rsid w:val="0060361C"/>
    <w:rsid w:val="00606EF7"/>
    <w:rsid w:val="00610BEF"/>
    <w:rsid w:val="006114AA"/>
    <w:rsid w:val="00613F4E"/>
    <w:rsid w:val="00615CFD"/>
    <w:rsid w:val="00616642"/>
    <w:rsid w:val="00616D64"/>
    <w:rsid w:val="00617B18"/>
    <w:rsid w:val="00621724"/>
    <w:rsid w:val="006218B0"/>
    <w:rsid w:val="00621912"/>
    <w:rsid w:val="006225E9"/>
    <w:rsid w:val="006239DC"/>
    <w:rsid w:val="00625333"/>
    <w:rsid w:val="0062722F"/>
    <w:rsid w:val="0062756D"/>
    <w:rsid w:val="006279D0"/>
    <w:rsid w:val="00627ADE"/>
    <w:rsid w:val="00631372"/>
    <w:rsid w:val="00631612"/>
    <w:rsid w:val="0063219A"/>
    <w:rsid w:val="0063246E"/>
    <w:rsid w:val="00632942"/>
    <w:rsid w:val="00633677"/>
    <w:rsid w:val="00634602"/>
    <w:rsid w:val="00634740"/>
    <w:rsid w:val="0063507A"/>
    <w:rsid w:val="00635D9C"/>
    <w:rsid w:val="00636822"/>
    <w:rsid w:val="00636B04"/>
    <w:rsid w:val="00636BEC"/>
    <w:rsid w:val="00636DBE"/>
    <w:rsid w:val="00636F42"/>
    <w:rsid w:val="006377D5"/>
    <w:rsid w:val="00637F04"/>
    <w:rsid w:val="00641609"/>
    <w:rsid w:val="00641FA6"/>
    <w:rsid w:val="006420FC"/>
    <w:rsid w:val="0064339D"/>
    <w:rsid w:val="0064358A"/>
    <w:rsid w:val="0064502C"/>
    <w:rsid w:val="006462C6"/>
    <w:rsid w:val="00646599"/>
    <w:rsid w:val="00647BC6"/>
    <w:rsid w:val="00650F49"/>
    <w:rsid w:val="00651CF7"/>
    <w:rsid w:val="006522EE"/>
    <w:rsid w:val="006524E2"/>
    <w:rsid w:val="00654925"/>
    <w:rsid w:val="00657C92"/>
    <w:rsid w:val="00661FEE"/>
    <w:rsid w:val="00662F66"/>
    <w:rsid w:val="0066478C"/>
    <w:rsid w:val="00665E52"/>
    <w:rsid w:val="00666A3C"/>
    <w:rsid w:val="00667AE1"/>
    <w:rsid w:val="00667F7D"/>
    <w:rsid w:val="006709E5"/>
    <w:rsid w:val="0067256C"/>
    <w:rsid w:val="00672A0A"/>
    <w:rsid w:val="0067380D"/>
    <w:rsid w:val="0067382B"/>
    <w:rsid w:val="0067432C"/>
    <w:rsid w:val="00674A92"/>
    <w:rsid w:val="00674C03"/>
    <w:rsid w:val="0067559C"/>
    <w:rsid w:val="00675FA3"/>
    <w:rsid w:val="00680BCB"/>
    <w:rsid w:val="00682756"/>
    <w:rsid w:val="006837C1"/>
    <w:rsid w:val="00683DAA"/>
    <w:rsid w:val="0068546A"/>
    <w:rsid w:val="006865C3"/>
    <w:rsid w:val="006873D5"/>
    <w:rsid w:val="00687BE7"/>
    <w:rsid w:val="006925E3"/>
    <w:rsid w:val="00695FE6"/>
    <w:rsid w:val="0069662C"/>
    <w:rsid w:val="006A0006"/>
    <w:rsid w:val="006A2989"/>
    <w:rsid w:val="006A3C48"/>
    <w:rsid w:val="006A4372"/>
    <w:rsid w:val="006A5891"/>
    <w:rsid w:val="006A596F"/>
    <w:rsid w:val="006A6677"/>
    <w:rsid w:val="006A71A4"/>
    <w:rsid w:val="006B0065"/>
    <w:rsid w:val="006B04F2"/>
    <w:rsid w:val="006B1384"/>
    <w:rsid w:val="006B25C1"/>
    <w:rsid w:val="006B36FB"/>
    <w:rsid w:val="006B47CA"/>
    <w:rsid w:val="006B62EB"/>
    <w:rsid w:val="006B645A"/>
    <w:rsid w:val="006C022B"/>
    <w:rsid w:val="006C0F38"/>
    <w:rsid w:val="006C1F8D"/>
    <w:rsid w:val="006C306D"/>
    <w:rsid w:val="006C5B3E"/>
    <w:rsid w:val="006C6FC4"/>
    <w:rsid w:val="006C7BFF"/>
    <w:rsid w:val="006D041F"/>
    <w:rsid w:val="006D0B23"/>
    <w:rsid w:val="006D2518"/>
    <w:rsid w:val="006D2AFB"/>
    <w:rsid w:val="006D32D4"/>
    <w:rsid w:val="006D5266"/>
    <w:rsid w:val="006D57B4"/>
    <w:rsid w:val="006D7879"/>
    <w:rsid w:val="006E03C8"/>
    <w:rsid w:val="006E18EA"/>
    <w:rsid w:val="006E195E"/>
    <w:rsid w:val="006E3328"/>
    <w:rsid w:val="006E46A1"/>
    <w:rsid w:val="006E63A2"/>
    <w:rsid w:val="006F0825"/>
    <w:rsid w:val="006F333E"/>
    <w:rsid w:val="007018E7"/>
    <w:rsid w:val="00703064"/>
    <w:rsid w:val="00703AF9"/>
    <w:rsid w:val="00704B00"/>
    <w:rsid w:val="0070510B"/>
    <w:rsid w:val="0070515E"/>
    <w:rsid w:val="00706445"/>
    <w:rsid w:val="00711EF1"/>
    <w:rsid w:val="00713BB8"/>
    <w:rsid w:val="00716B2D"/>
    <w:rsid w:val="00716D57"/>
    <w:rsid w:val="00717015"/>
    <w:rsid w:val="00717CA6"/>
    <w:rsid w:val="00721463"/>
    <w:rsid w:val="007231F6"/>
    <w:rsid w:val="00724085"/>
    <w:rsid w:val="00727731"/>
    <w:rsid w:val="007301C9"/>
    <w:rsid w:val="00731219"/>
    <w:rsid w:val="00735500"/>
    <w:rsid w:val="007358B3"/>
    <w:rsid w:val="00735FBE"/>
    <w:rsid w:val="00740D79"/>
    <w:rsid w:val="007418BF"/>
    <w:rsid w:val="00743423"/>
    <w:rsid w:val="0074533B"/>
    <w:rsid w:val="007530B3"/>
    <w:rsid w:val="00753464"/>
    <w:rsid w:val="00753CFA"/>
    <w:rsid w:val="00754EB5"/>
    <w:rsid w:val="0075760B"/>
    <w:rsid w:val="00757F68"/>
    <w:rsid w:val="00761469"/>
    <w:rsid w:val="00763D72"/>
    <w:rsid w:val="00763F97"/>
    <w:rsid w:val="0076563D"/>
    <w:rsid w:val="00770E5E"/>
    <w:rsid w:val="00771CB9"/>
    <w:rsid w:val="00773452"/>
    <w:rsid w:val="00774060"/>
    <w:rsid w:val="00774362"/>
    <w:rsid w:val="0077515C"/>
    <w:rsid w:val="0077571F"/>
    <w:rsid w:val="00777D50"/>
    <w:rsid w:val="007826C6"/>
    <w:rsid w:val="007839A8"/>
    <w:rsid w:val="00783A1C"/>
    <w:rsid w:val="00784129"/>
    <w:rsid w:val="007870B5"/>
    <w:rsid w:val="007872A7"/>
    <w:rsid w:val="00791C24"/>
    <w:rsid w:val="00791E7D"/>
    <w:rsid w:val="00794BB9"/>
    <w:rsid w:val="00795FB2"/>
    <w:rsid w:val="007968C2"/>
    <w:rsid w:val="0079696B"/>
    <w:rsid w:val="007A08E7"/>
    <w:rsid w:val="007A2031"/>
    <w:rsid w:val="007A2E57"/>
    <w:rsid w:val="007A3031"/>
    <w:rsid w:val="007A6564"/>
    <w:rsid w:val="007B10BD"/>
    <w:rsid w:val="007B1CA7"/>
    <w:rsid w:val="007B37CE"/>
    <w:rsid w:val="007B4873"/>
    <w:rsid w:val="007B5971"/>
    <w:rsid w:val="007B6E47"/>
    <w:rsid w:val="007C0486"/>
    <w:rsid w:val="007C08F1"/>
    <w:rsid w:val="007C6AED"/>
    <w:rsid w:val="007D05CF"/>
    <w:rsid w:val="007D0EDD"/>
    <w:rsid w:val="007D2B7B"/>
    <w:rsid w:val="007D2F3E"/>
    <w:rsid w:val="007D315B"/>
    <w:rsid w:val="007E2FEC"/>
    <w:rsid w:val="007E3D73"/>
    <w:rsid w:val="007F089D"/>
    <w:rsid w:val="007F1376"/>
    <w:rsid w:val="007F2B53"/>
    <w:rsid w:val="007F3479"/>
    <w:rsid w:val="007F3C69"/>
    <w:rsid w:val="007F4B10"/>
    <w:rsid w:val="007F52C1"/>
    <w:rsid w:val="007F54E2"/>
    <w:rsid w:val="007F7279"/>
    <w:rsid w:val="008010CC"/>
    <w:rsid w:val="0080119C"/>
    <w:rsid w:val="00801C5E"/>
    <w:rsid w:val="0080301B"/>
    <w:rsid w:val="00806157"/>
    <w:rsid w:val="00807008"/>
    <w:rsid w:val="0081133B"/>
    <w:rsid w:val="00811CF2"/>
    <w:rsid w:val="008122FA"/>
    <w:rsid w:val="00812306"/>
    <w:rsid w:val="00814A1D"/>
    <w:rsid w:val="00815023"/>
    <w:rsid w:val="00820C02"/>
    <w:rsid w:val="00820D66"/>
    <w:rsid w:val="00827AEC"/>
    <w:rsid w:val="0083017B"/>
    <w:rsid w:val="00832B88"/>
    <w:rsid w:val="00832C6D"/>
    <w:rsid w:val="0083302E"/>
    <w:rsid w:val="00833549"/>
    <w:rsid w:val="0083564D"/>
    <w:rsid w:val="008375D3"/>
    <w:rsid w:val="00840680"/>
    <w:rsid w:val="00841DD5"/>
    <w:rsid w:val="00842A66"/>
    <w:rsid w:val="00843155"/>
    <w:rsid w:val="008453F1"/>
    <w:rsid w:val="00845878"/>
    <w:rsid w:val="0084649F"/>
    <w:rsid w:val="00846573"/>
    <w:rsid w:val="00851298"/>
    <w:rsid w:val="008530E4"/>
    <w:rsid w:val="00853D61"/>
    <w:rsid w:val="00855BD2"/>
    <w:rsid w:val="00857AFA"/>
    <w:rsid w:val="00857E97"/>
    <w:rsid w:val="008609B2"/>
    <w:rsid w:val="008609CB"/>
    <w:rsid w:val="0086460B"/>
    <w:rsid w:val="00865592"/>
    <w:rsid w:val="00865F07"/>
    <w:rsid w:val="00867D65"/>
    <w:rsid w:val="00871B4D"/>
    <w:rsid w:val="0087217F"/>
    <w:rsid w:val="008727B2"/>
    <w:rsid w:val="00872BF5"/>
    <w:rsid w:val="00873045"/>
    <w:rsid w:val="00876255"/>
    <w:rsid w:val="00876CD4"/>
    <w:rsid w:val="008808E2"/>
    <w:rsid w:val="0088162D"/>
    <w:rsid w:val="00881D2B"/>
    <w:rsid w:val="00881DBE"/>
    <w:rsid w:val="0088426F"/>
    <w:rsid w:val="008878B2"/>
    <w:rsid w:val="00887FCC"/>
    <w:rsid w:val="008905C0"/>
    <w:rsid w:val="00891105"/>
    <w:rsid w:val="00892086"/>
    <w:rsid w:val="00893766"/>
    <w:rsid w:val="0089531C"/>
    <w:rsid w:val="00896062"/>
    <w:rsid w:val="008A015F"/>
    <w:rsid w:val="008A0A5C"/>
    <w:rsid w:val="008A14B7"/>
    <w:rsid w:val="008A1684"/>
    <w:rsid w:val="008A1E1E"/>
    <w:rsid w:val="008A322D"/>
    <w:rsid w:val="008A32D0"/>
    <w:rsid w:val="008A395C"/>
    <w:rsid w:val="008A41EF"/>
    <w:rsid w:val="008A425E"/>
    <w:rsid w:val="008A44A7"/>
    <w:rsid w:val="008B04C0"/>
    <w:rsid w:val="008B05C3"/>
    <w:rsid w:val="008B26F5"/>
    <w:rsid w:val="008B63FB"/>
    <w:rsid w:val="008B6CE2"/>
    <w:rsid w:val="008C1988"/>
    <w:rsid w:val="008C27F7"/>
    <w:rsid w:val="008C4508"/>
    <w:rsid w:val="008C4658"/>
    <w:rsid w:val="008C4A7C"/>
    <w:rsid w:val="008C5CCA"/>
    <w:rsid w:val="008C7FA8"/>
    <w:rsid w:val="008D1223"/>
    <w:rsid w:val="008D1483"/>
    <w:rsid w:val="008D1725"/>
    <w:rsid w:val="008D227C"/>
    <w:rsid w:val="008D27CD"/>
    <w:rsid w:val="008D4265"/>
    <w:rsid w:val="008D55A5"/>
    <w:rsid w:val="008D7137"/>
    <w:rsid w:val="008D71B2"/>
    <w:rsid w:val="008E050A"/>
    <w:rsid w:val="008E112E"/>
    <w:rsid w:val="008E29C6"/>
    <w:rsid w:val="008E2E50"/>
    <w:rsid w:val="008E51ED"/>
    <w:rsid w:val="008E5989"/>
    <w:rsid w:val="008E609A"/>
    <w:rsid w:val="008E648A"/>
    <w:rsid w:val="008E65CA"/>
    <w:rsid w:val="008E6D22"/>
    <w:rsid w:val="008E6FB8"/>
    <w:rsid w:val="008F1E14"/>
    <w:rsid w:val="008F1FA3"/>
    <w:rsid w:val="008F2359"/>
    <w:rsid w:val="008F2845"/>
    <w:rsid w:val="008F28FC"/>
    <w:rsid w:val="008F30A0"/>
    <w:rsid w:val="008F3758"/>
    <w:rsid w:val="008F385F"/>
    <w:rsid w:val="008F44C6"/>
    <w:rsid w:val="008F4A19"/>
    <w:rsid w:val="008F60D2"/>
    <w:rsid w:val="008F6148"/>
    <w:rsid w:val="008F6611"/>
    <w:rsid w:val="008F7618"/>
    <w:rsid w:val="008F7C6D"/>
    <w:rsid w:val="0090293F"/>
    <w:rsid w:val="00902983"/>
    <w:rsid w:val="0090338B"/>
    <w:rsid w:val="00906F35"/>
    <w:rsid w:val="0091232B"/>
    <w:rsid w:val="009126C1"/>
    <w:rsid w:val="00913BCE"/>
    <w:rsid w:val="00914093"/>
    <w:rsid w:val="00914EF1"/>
    <w:rsid w:val="0091558A"/>
    <w:rsid w:val="00915F0A"/>
    <w:rsid w:val="00916CAF"/>
    <w:rsid w:val="00920587"/>
    <w:rsid w:val="009228AA"/>
    <w:rsid w:val="00922BBB"/>
    <w:rsid w:val="0092390E"/>
    <w:rsid w:val="00925434"/>
    <w:rsid w:val="00926067"/>
    <w:rsid w:val="0092618C"/>
    <w:rsid w:val="009305FD"/>
    <w:rsid w:val="00935687"/>
    <w:rsid w:val="00935881"/>
    <w:rsid w:val="00936046"/>
    <w:rsid w:val="00943DF9"/>
    <w:rsid w:val="00943E38"/>
    <w:rsid w:val="0094439C"/>
    <w:rsid w:val="009445B4"/>
    <w:rsid w:val="009447E1"/>
    <w:rsid w:val="00944E68"/>
    <w:rsid w:val="009450E9"/>
    <w:rsid w:val="0094661F"/>
    <w:rsid w:val="009523F5"/>
    <w:rsid w:val="00952B04"/>
    <w:rsid w:val="00954EBF"/>
    <w:rsid w:val="0095516D"/>
    <w:rsid w:val="00955E47"/>
    <w:rsid w:val="00956CB7"/>
    <w:rsid w:val="00957111"/>
    <w:rsid w:val="00957CB3"/>
    <w:rsid w:val="009609F7"/>
    <w:rsid w:val="00961AB3"/>
    <w:rsid w:val="009667A6"/>
    <w:rsid w:val="00970A2C"/>
    <w:rsid w:val="00971F3D"/>
    <w:rsid w:val="00972A7B"/>
    <w:rsid w:val="00974ED1"/>
    <w:rsid w:val="00975265"/>
    <w:rsid w:val="00976809"/>
    <w:rsid w:val="009775B5"/>
    <w:rsid w:val="00980377"/>
    <w:rsid w:val="00980452"/>
    <w:rsid w:val="00980E0C"/>
    <w:rsid w:val="00981297"/>
    <w:rsid w:val="00982E31"/>
    <w:rsid w:val="0098424E"/>
    <w:rsid w:val="009844C0"/>
    <w:rsid w:val="00984B20"/>
    <w:rsid w:val="00985896"/>
    <w:rsid w:val="00991EC1"/>
    <w:rsid w:val="009949F2"/>
    <w:rsid w:val="0099563D"/>
    <w:rsid w:val="00996F93"/>
    <w:rsid w:val="009978AB"/>
    <w:rsid w:val="009A13C4"/>
    <w:rsid w:val="009A2A87"/>
    <w:rsid w:val="009A30CD"/>
    <w:rsid w:val="009A3C02"/>
    <w:rsid w:val="009A5440"/>
    <w:rsid w:val="009A5667"/>
    <w:rsid w:val="009A699F"/>
    <w:rsid w:val="009A7D3A"/>
    <w:rsid w:val="009B01DA"/>
    <w:rsid w:val="009B129E"/>
    <w:rsid w:val="009B3406"/>
    <w:rsid w:val="009B3B3C"/>
    <w:rsid w:val="009B654E"/>
    <w:rsid w:val="009B6BEC"/>
    <w:rsid w:val="009C0A9E"/>
    <w:rsid w:val="009C0C2F"/>
    <w:rsid w:val="009C3592"/>
    <w:rsid w:val="009C4AD0"/>
    <w:rsid w:val="009C5D0F"/>
    <w:rsid w:val="009D1F23"/>
    <w:rsid w:val="009D27BC"/>
    <w:rsid w:val="009D4454"/>
    <w:rsid w:val="009D790C"/>
    <w:rsid w:val="009E0C35"/>
    <w:rsid w:val="009E2041"/>
    <w:rsid w:val="009E2931"/>
    <w:rsid w:val="009E5392"/>
    <w:rsid w:val="009E55E9"/>
    <w:rsid w:val="009E6AEF"/>
    <w:rsid w:val="009F12C0"/>
    <w:rsid w:val="009F3C60"/>
    <w:rsid w:val="009F5659"/>
    <w:rsid w:val="009F6974"/>
    <w:rsid w:val="009F6C56"/>
    <w:rsid w:val="00A01035"/>
    <w:rsid w:val="00A01A41"/>
    <w:rsid w:val="00A03C31"/>
    <w:rsid w:val="00A0421F"/>
    <w:rsid w:val="00A05767"/>
    <w:rsid w:val="00A058D9"/>
    <w:rsid w:val="00A064D1"/>
    <w:rsid w:val="00A06FCF"/>
    <w:rsid w:val="00A07A84"/>
    <w:rsid w:val="00A10510"/>
    <w:rsid w:val="00A11889"/>
    <w:rsid w:val="00A120B1"/>
    <w:rsid w:val="00A1221E"/>
    <w:rsid w:val="00A125AF"/>
    <w:rsid w:val="00A13300"/>
    <w:rsid w:val="00A133D1"/>
    <w:rsid w:val="00A14D7C"/>
    <w:rsid w:val="00A1546F"/>
    <w:rsid w:val="00A15C5A"/>
    <w:rsid w:val="00A16D05"/>
    <w:rsid w:val="00A239DB"/>
    <w:rsid w:val="00A31E20"/>
    <w:rsid w:val="00A3210B"/>
    <w:rsid w:val="00A33BB2"/>
    <w:rsid w:val="00A33F25"/>
    <w:rsid w:val="00A343DD"/>
    <w:rsid w:val="00A361AE"/>
    <w:rsid w:val="00A373EE"/>
    <w:rsid w:val="00A40B3F"/>
    <w:rsid w:val="00A41A67"/>
    <w:rsid w:val="00A424BE"/>
    <w:rsid w:val="00A42610"/>
    <w:rsid w:val="00A42B68"/>
    <w:rsid w:val="00A43D71"/>
    <w:rsid w:val="00A44203"/>
    <w:rsid w:val="00A44AFE"/>
    <w:rsid w:val="00A51566"/>
    <w:rsid w:val="00A51FCE"/>
    <w:rsid w:val="00A53E24"/>
    <w:rsid w:val="00A5482C"/>
    <w:rsid w:val="00A55B93"/>
    <w:rsid w:val="00A60992"/>
    <w:rsid w:val="00A64AAB"/>
    <w:rsid w:val="00A6543E"/>
    <w:rsid w:val="00A6553B"/>
    <w:rsid w:val="00A67B20"/>
    <w:rsid w:val="00A70AEC"/>
    <w:rsid w:val="00A71C23"/>
    <w:rsid w:val="00A80995"/>
    <w:rsid w:val="00A80D83"/>
    <w:rsid w:val="00A823EF"/>
    <w:rsid w:val="00A8250D"/>
    <w:rsid w:val="00A8283E"/>
    <w:rsid w:val="00A83C1C"/>
    <w:rsid w:val="00A85017"/>
    <w:rsid w:val="00A85047"/>
    <w:rsid w:val="00A861FA"/>
    <w:rsid w:val="00A87B7C"/>
    <w:rsid w:val="00A907CB"/>
    <w:rsid w:val="00A90858"/>
    <w:rsid w:val="00A9090A"/>
    <w:rsid w:val="00A92006"/>
    <w:rsid w:val="00A9216C"/>
    <w:rsid w:val="00A9328F"/>
    <w:rsid w:val="00A93F7F"/>
    <w:rsid w:val="00A9507D"/>
    <w:rsid w:val="00A955DC"/>
    <w:rsid w:val="00A967DA"/>
    <w:rsid w:val="00A96BBA"/>
    <w:rsid w:val="00AA0849"/>
    <w:rsid w:val="00AA15FB"/>
    <w:rsid w:val="00AA19DD"/>
    <w:rsid w:val="00AA380A"/>
    <w:rsid w:val="00AA3BD1"/>
    <w:rsid w:val="00AA49CE"/>
    <w:rsid w:val="00AA54E0"/>
    <w:rsid w:val="00AA5B7A"/>
    <w:rsid w:val="00AA5DE3"/>
    <w:rsid w:val="00AA5E4F"/>
    <w:rsid w:val="00AB03E8"/>
    <w:rsid w:val="00AB17AA"/>
    <w:rsid w:val="00AB1EEC"/>
    <w:rsid w:val="00AB2C87"/>
    <w:rsid w:val="00AB2DE8"/>
    <w:rsid w:val="00AB361E"/>
    <w:rsid w:val="00AB373E"/>
    <w:rsid w:val="00AB3BB8"/>
    <w:rsid w:val="00AB4DD1"/>
    <w:rsid w:val="00AB6B71"/>
    <w:rsid w:val="00AB753E"/>
    <w:rsid w:val="00AC034E"/>
    <w:rsid w:val="00AC305D"/>
    <w:rsid w:val="00AC3B21"/>
    <w:rsid w:val="00AC493A"/>
    <w:rsid w:val="00AC7DF1"/>
    <w:rsid w:val="00AD1D1E"/>
    <w:rsid w:val="00AD2957"/>
    <w:rsid w:val="00AD5341"/>
    <w:rsid w:val="00AD7353"/>
    <w:rsid w:val="00AD78DC"/>
    <w:rsid w:val="00AD7E9E"/>
    <w:rsid w:val="00AE131D"/>
    <w:rsid w:val="00AE1B90"/>
    <w:rsid w:val="00AE2343"/>
    <w:rsid w:val="00AE3330"/>
    <w:rsid w:val="00AF0B83"/>
    <w:rsid w:val="00AF1774"/>
    <w:rsid w:val="00AF330A"/>
    <w:rsid w:val="00AF3745"/>
    <w:rsid w:val="00AF38E5"/>
    <w:rsid w:val="00AF62CA"/>
    <w:rsid w:val="00AF6597"/>
    <w:rsid w:val="00B03B66"/>
    <w:rsid w:val="00B04466"/>
    <w:rsid w:val="00B04981"/>
    <w:rsid w:val="00B100F0"/>
    <w:rsid w:val="00B12023"/>
    <w:rsid w:val="00B13E24"/>
    <w:rsid w:val="00B1432D"/>
    <w:rsid w:val="00B14C8F"/>
    <w:rsid w:val="00B14E5E"/>
    <w:rsid w:val="00B15BC0"/>
    <w:rsid w:val="00B16F6B"/>
    <w:rsid w:val="00B17449"/>
    <w:rsid w:val="00B17D7F"/>
    <w:rsid w:val="00B20126"/>
    <w:rsid w:val="00B2274E"/>
    <w:rsid w:val="00B237F0"/>
    <w:rsid w:val="00B25718"/>
    <w:rsid w:val="00B305FB"/>
    <w:rsid w:val="00B331D4"/>
    <w:rsid w:val="00B342E6"/>
    <w:rsid w:val="00B35F0D"/>
    <w:rsid w:val="00B416BC"/>
    <w:rsid w:val="00B41FB7"/>
    <w:rsid w:val="00B4352B"/>
    <w:rsid w:val="00B435A6"/>
    <w:rsid w:val="00B456A6"/>
    <w:rsid w:val="00B4676B"/>
    <w:rsid w:val="00B4764F"/>
    <w:rsid w:val="00B53AC2"/>
    <w:rsid w:val="00B557DE"/>
    <w:rsid w:val="00B57425"/>
    <w:rsid w:val="00B60768"/>
    <w:rsid w:val="00B648F0"/>
    <w:rsid w:val="00B6612D"/>
    <w:rsid w:val="00B66791"/>
    <w:rsid w:val="00B66A21"/>
    <w:rsid w:val="00B7137E"/>
    <w:rsid w:val="00B73381"/>
    <w:rsid w:val="00B74A21"/>
    <w:rsid w:val="00B7510C"/>
    <w:rsid w:val="00B75D19"/>
    <w:rsid w:val="00B80FDE"/>
    <w:rsid w:val="00B811D6"/>
    <w:rsid w:val="00B816D5"/>
    <w:rsid w:val="00B82C6D"/>
    <w:rsid w:val="00B835C2"/>
    <w:rsid w:val="00B84A5B"/>
    <w:rsid w:val="00B91523"/>
    <w:rsid w:val="00B915E2"/>
    <w:rsid w:val="00B91965"/>
    <w:rsid w:val="00B92D49"/>
    <w:rsid w:val="00B951C8"/>
    <w:rsid w:val="00B96342"/>
    <w:rsid w:val="00B971DE"/>
    <w:rsid w:val="00B97CB7"/>
    <w:rsid w:val="00BA033D"/>
    <w:rsid w:val="00BA084B"/>
    <w:rsid w:val="00BA09B0"/>
    <w:rsid w:val="00BA173A"/>
    <w:rsid w:val="00BA1BBC"/>
    <w:rsid w:val="00BA35C2"/>
    <w:rsid w:val="00BA3738"/>
    <w:rsid w:val="00BA4073"/>
    <w:rsid w:val="00BA4739"/>
    <w:rsid w:val="00BA71E8"/>
    <w:rsid w:val="00BB09C3"/>
    <w:rsid w:val="00BB56DF"/>
    <w:rsid w:val="00BB6FA7"/>
    <w:rsid w:val="00BC06E3"/>
    <w:rsid w:val="00BC280C"/>
    <w:rsid w:val="00BC2905"/>
    <w:rsid w:val="00BC3193"/>
    <w:rsid w:val="00BC3D8B"/>
    <w:rsid w:val="00BC57FF"/>
    <w:rsid w:val="00BC59A9"/>
    <w:rsid w:val="00BC631F"/>
    <w:rsid w:val="00BC753F"/>
    <w:rsid w:val="00BC76E1"/>
    <w:rsid w:val="00BC793B"/>
    <w:rsid w:val="00BC7DEF"/>
    <w:rsid w:val="00BD0872"/>
    <w:rsid w:val="00BD252C"/>
    <w:rsid w:val="00BD2A29"/>
    <w:rsid w:val="00BD2F5E"/>
    <w:rsid w:val="00BD563A"/>
    <w:rsid w:val="00BD6EEF"/>
    <w:rsid w:val="00BD7A73"/>
    <w:rsid w:val="00BE07CA"/>
    <w:rsid w:val="00BE0A49"/>
    <w:rsid w:val="00BE1C73"/>
    <w:rsid w:val="00BE35F3"/>
    <w:rsid w:val="00BE3A0E"/>
    <w:rsid w:val="00BE431B"/>
    <w:rsid w:val="00BE4735"/>
    <w:rsid w:val="00BE559B"/>
    <w:rsid w:val="00BF176F"/>
    <w:rsid w:val="00BF51DE"/>
    <w:rsid w:val="00BF706B"/>
    <w:rsid w:val="00BF7659"/>
    <w:rsid w:val="00C0194E"/>
    <w:rsid w:val="00C019F1"/>
    <w:rsid w:val="00C0314A"/>
    <w:rsid w:val="00C039DC"/>
    <w:rsid w:val="00C0455C"/>
    <w:rsid w:val="00C10AFD"/>
    <w:rsid w:val="00C11862"/>
    <w:rsid w:val="00C1283D"/>
    <w:rsid w:val="00C14046"/>
    <w:rsid w:val="00C1474D"/>
    <w:rsid w:val="00C16B9C"/>
    <w:rsid w:val="00C20801"/>
    <w:rsid w:val="00C20C14"/>
    <w:rsid w:val="00C230F1"/>
    <w:rsid w:val="00C24FB8"/>
    <w:rsid w:val="00C2592B"/>
    <w:rsid w:val="00C27251"/>
    <w:rsid w:val="00C272BC"/>
    <w:rsid w:val="00C30B75"/>
    <w:rsid w:val="00C316E1"/>
    <w:rsid w:val="00C31D49"/>
    <w:rsid w:val="00C365D8"/>
    <w:rsid w:val="00C411FC"/>
    <w:rsid w:val="00C411FD"/>
    <w:rsid w:val="00C433E1"/>
    <w:rsid w:val="00C4466F"/>
    <w:rsid w:val="00C44966"/>
    <w:rsid w:val="00C46839"/>
    <w:rsid w:val="00C50269"/>
    <w:rsid w:val="00C50998"/>
    <w:rsid w:val="00C519CE"/>
    <w:rsid w:val="00C533C8"/>
    <w:rsid w:val="00C561EA"/>
    <w:rsid w:val="00C5651F"/>
    <w:rsid w:val="00C57D6D"/>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DBA"/>
    <w:rsid w:val="00C71F33"/>
    <w:rsid w:val="00C71F34"/>
    <w:rsid w:val="00C73555"/>
    <w:rsid w:val="00C74F2B"/>
    <w:rsid w:val="00C77CD7"/>
    <w:rsid w:val="00C80190"/>
    <w:rsid w:val="00C8085E"/>
    <w:rsid w:val="00C82EEE"/>
    <w:rsid w:val="00C848BD"/>
    <w:rsid w:val="00C87E8D"/>
    <w:rsid w:val="00C9064B"/>
    <w:rsid w:val="00C91329"/>
    <w:rsid w:val="00C91369"/>
    <w:rsid w:val="00C92C32"/>
    <w:rsid w:val="00C96371"/>
    <w:rsid w:val="00CA1090"/>
    <w:rsid w:val="00CA113C"/>
    <w:rsid w:val="00CA2F82"/>
    <w:rsid w:val="00CA3C23"/>
    <w:rsid w:val="00CA464B"/>
    <w:rsid w:val="00CA500D"/>
    <w:rsid w:val="00CA59D3"/>
    <w:rsid w:val="00CA6D77"/>
    <w:rsid w:val="00CA6E3E"/>
    <w:rsid w:val="00CB14EB"/>
    <w:rsid w:val="00CB38E1"/>
    <w:rsid w:val="00CB4130"/>
    <w:rsid w:val="00CB6723"/>
    <w:rsid w:val="00CB7670"/>
    <w:rsid w:val="00CB76D7"/>
    <w:rsid w:val="00CB7B1B"/>
    <w:rsid w:val="00CC1F78"/>
    <w:rsid w:val="00CC3825"/>
    <w:rsid w:val="00CC6ADA"/>
    <w:rsid w:val="00CD28B3"/>
    <w:rsid w:val="00CD347F"/>
    <w:rsid w:val="00CD4AD5"/>
    <w:rsid w:val="00CD5583"/>
    <w:rsid w:val="00CD5834"/>
    <w:rsid w:val="00CE1398"/>
    <w:rsid w:val="00CE2E50"/>
    <w:rsid w:val="00CE2FD4"/>
    <w:rsid w:val="00CE43AC"/>
    <w:rsid w:val="00CE540B"/>
    <w:rsid w:val="00CE5F71"/>
    <w:rsid w:val="00CF09F5"/>
    <w:rsid w:val="00CF350E"/>
    <w:rsid w:val="00CF4AA9"/>
    <w:rsid w:val="00CF72FB"/>
    <w:rsid w:val="00CF767B"/>
    <w:rsid w:val="00CF7BA5"/>
    <w:rsid w:val="00D00668"/>
    <w:rsid w:val="00D01302"/>
    <w:rsid w:val="00D04BFD"/>
    <w:rsid w:val="00D04C3E"/>
    <w:rsid w:val="00D04ECD"/>
    <w:rsid w:val="00D06811"/>
    <w:rsid w:val="00D06DAF"/>
    <w:rsid w:val="00D11677"/>
    <w:rsid w:val="00D14C37"/>
    <w:rsid w:val="00D16648"/>
    <w:rsid w:val="00D16D89"/>
    <w:rsid w:val="00D20C49"/>
    <w:rsid w:val="00D22543"/>
    <w:rsid w:val="00D24A0A"/>
    <w:rsid w:val="00D269AB"/>
    <w:rsid w:val="00D315C8"/>
    <w:rsid w:val="00D32C56"/>
    <w:rsid w:val="00D333AA"/>
    <w:rsid w:val="00D35149"/>
    <w:rsid w:val="00D405EC"/>
    <w:rsid w:val="00D40A6A"/>
    <w:rsid w:val="00D41284"/>
    <w:rsid w:val="00D41355"/>
    <w:rsid w:val="00D42212"/>
    <w:rsid w:val="00D43432"/>
    <w:rsid w:val="00D4505F"/>
    <w:rsid w:val="00D452A4"/>
    <w:rsid w:val="00D459ED"/>
    <w:rsid w:val="00D5167F"/>
    <w:rsid w:val="00D56AB1"/>
    <w:rsid w:val="00D63759"/>
    <w:rsid w:val="00D63E2E"/>
    <w:rsid w:val="00D64988"/>
    <w:rsid w:val="00D65228"/>
    <w:rsid w:val="00D6529B"/>
    <w:rsid w:val="00D656B2"/>
    <w:rsid w:val="00D66D9A"/>
    <w:rsid w:val="00D738D0"/>
    <w:rsid w:val="00D751B5"/>
    <w:rsid w:val="00D7618F"/>
    <w:rsid w:val="00D807BC"/>
    <w:rsid w:val="00D809E1"/>
    <w:rsid w:val="00D83129"/>
    <w:rsid w:val="00D8354E"/>
    <w:rsid w:val="00D8526D"/>
    <w:rsid w:val="00D87054"/>
    <w:rsid w:val="00D876C7"/>
    <w:rsid w:val="00D907E0"/>
    <w:rsid w:val="00D915DC"/>
    <w:rsid w:val="00D91640"/>
    <w:rsid w:val="00D9279B"/>
    <w:rsid w:val="00D92FB1"/>
    <w:rsid w:val="00D93869"/>
    <w:rsid w:val="00D93A78"/>
    <w:rsid w:val="00D97D62"/>
    <w:rsid w:val="00DA14A8"/>
    <w:rsid w:val="00DA167E"/>
    <w:rsid w:val="00DA17A2"/>
    <w:rsid w:val="00DA63E1"/>
    <w:rsid w:val="00DA6D4D"/>
    <w:rsid w:val="00DB045C"/>
    <w:rsid w:val="00DB04A6"/>
    <w:rsid w:val="00DB0A71"/>
    <w:rsid w:val="00DB1E57"/>
    <w:rsid w:val="00DB221F"/>
    <w:rsid w:val="00DB2B64"/>
    <w:rsid w:val="00DB3B92"/>
    <w:rsid w:val="00DB3BB5"/>
    <w:rsid w:val="00DB43FB"/>
    <w:rsid w:val="00DB5502"/>
    <w:rsid w:val="00DB76DC"/>
    <w:rsid w:val="00DC21CC"/>
    <w:rsid w:val="00DC26B1"/>
    <w:rsid w:val="00DC41CF"/>
    <w:rsid w:val="00DC52B9"/>
    <w:rsid w:val="00DC6324"/>
    <w:rsid w:val="00DC6583"/>
    <w:rsid w:val="00DC6689"/>
    <w:rsid w:val="00DD4E46"/>
    <w:rsid w:val="00DE1A21"/>
    <w:rsid w:val="00DE207C"/>
    <w:rsid w:val="00DE2804"/>
    <w:rsid w:val="00DE3192"/>
    <w:rsid w:val="00DE4BEC"/>
    <w:rsid w:val="00DE5833"/>
    <w:rsid w:val="00DE6922"/>
    <w:rsid w:val="00DF019A"/>
    <w:rsid w:val="00DF262E"/>
    <w:rsid w:val="00DF2B2F"/>
    <w:rsid w:val="00DF3044"/>
    <w:rsid w:val="00DF4632"/>
    <w:rsid w:val="00DF5D5B"/>
    <w:rsid w:val="00DF6700"/>
    <w:rsid w:val="00DF751B"/>
    <w:rsid w:val="00E02546"/>
    <w:rsid w:val="00E029EF"/>
    <w:rsid w:val="00E032E8"/>
    <w:rsid w:val="00E051E7"/>
    <w:rsid w:val="00E06FB2"/>
    <w:rsid w:val="00E0767F"/>
    <w:rsid w:val="00E11479"/>
    <w:rsid w:val="00E11DF2"/>
    <w:rsid w:val="00E12318"/>
    <w:rsid w:val="00E126F5"/>
    <w:rsid w:val="00E13475"/>
    <w:rsid w:val="00E137B5"/>
    <w:rsid w:val="00E15CCF"/>
    <w:rsid w:val="00E20020"/>
    <w:rsid w:val="00E21AEA"/>
    <w:rsid w:val="00E21C82"/>
    <w:rsid w:val="00E22451"/>
    <w:rsid w:val="00E2337B"/>
    <w:rsid w:val="00E24A4C"/>
    <w:rsid w:val="00E26992"/>
    <w:rsid w:val="00E27342"/>
    <w:rsid w:val="00E27572"/>
    <w:rsid w:val="00E30554"/>
    <w:rsid w:val="00E31489"/>
    <w:rsid w:val="00E3446F"/>
    <w:rsid w:val="00E34E7B"/>
    <w:rsid w:val="00E361BF"/>
    <w:rsid w:val="00E3699C"/>
    <w:rsid w:val="00E36F31"/>
    <w:rsid w:val="00E375F7"/>
    <w:rsid w:val="00E378D3"/>
    <w:rsid w:val="00E37C4C"/>
    <w:rsid w:val="00E40AF3"/>
    <w:rsid w:val="00E4245D"/>
    <w:rsid w:val="00E4268C"/>
    <w:rsid w:val="00E46BAE"/>
    <w:rsid w:val="00E50885"/>
    <w:rsid w:val="00E5241A"/>
    <w:rsid w:val="00E54CEB"/>
    <w:rsid w:val="00E54FFF"/>
    <w:rsid w:val="00E56B40"/>
    <w:rsid w:val="00E6130D"/>
    <w:rsid w:val="00E61755"/>
    <w:rsid w:val="00E61C70"/>
    <w:rsid w:val="00E62524"/>
    <w:rsid w:val="00E62541"/>
    <w:rsid w:val="00E63356"/>
    <w:rsid w:val="00E7004D"/>
    <w:rsid w:val="00E70FDB"/>
    <w:rsid w:val="00E722A1"/>
    <w:rsid w:val="00E7268A"/>
    <w:rsid w:val="00E72869"/>
    <w:rsid w:val="00E75EE5"/>
    <w:rsid w:val="00E76432"/>
    <w:rsid w:val="00E77DDF"/>
    <w:rsid w:val="00E8067A"/>
    <w:rsid w:val="00E81127"/>
    <w:rsid w:val="00E84693"/>
    <w:rsid w:val="00E857A6"/>
    <w:rsid w:val="00E85D24"/>
    <w:rsid w:val="00E873FE"/>
    <w:rsid w:val="00E87AC8"/>
    <w:rsid w:val="00E92642"/>
    <w:rsid w:val="00E9306D"/>
    <w:rsid w:val="00E953F9"/>
    <w:rsid w:val="00E9706D"/>
    <w:rsid w:val="00E97202"/>
    <w:rsid w:val="00EA0864"/>
    <w:rsid w:val="00EA2002"/>
    <w:rsid w:val="00EA2D62"/>
    <w:rsid w:val="00EA3870"/>
    <w:rsid w:val="00EA3A08"/>
    <w:rsid w:val="00EA54DF"/>
    <w:rsid w:val="00EA65FD"/>
    <w:rsid w:val="00EA7BF1"/>
    <w:rsid w:val="00EB09C6"/>
    <w:rsid w:val="00EB2333"/>
    <w:rsid w:val="00EB3325"/>
    <w:rsid w:val="00EB4C67"/>
    <w:rsid w:val="00EB52E4"/>
    <w:rsid w:val="00EB642A"/>
    <w:rsid w:val="00EB7D98"/>
    <w:rsid w:val="00EC0B7D"/>
    <w:rsid w:val="00EC30A4"/>
    <w:rsid w:val="00EC362F"/>
    <w:rsid w:val="00EC58F2"/>
    <w:rsid w:val="00EC63B5"/>
    <w:rsid w:val="00EC67FF"/>
    <w:rsid w:val="00EC69E7"/>
    <w:rsid w:val="00ED11F4"/>
    <w:rsid w:val="00ED150D"/>
    <w:rsid w:val="00ED3814"/>
    <w:rsid w:val="00ED3D64"/>
    <w:rsid w:val="00ED4A49"/>
    <w:rsid w:val="00ED5343"/>
    <w:rsid w:val="00ED6204"/>
    <w:rsid w:val="00ED6CF5"/>
    <w:rsid w:val="00ED6D79"/>
    <w:rsid w:val="00EE032C"/>
    <w:rsid w:val="00EE0780"/>
    <w:rsid w:val="00EE0C4C"/>
    <w:rsid w:val="00EE2E8B"/>
    <w:rsid w:val="00EE3CE3"/>
    <w:rsid w:val="00EF35A5"/>
    <w:rsid w:val="00EF37DF"/>
    <w:rsid w:val="00EF5F99"/>
    <w:rsid w:val="00F001B1"/>
    <w:rsid w:val="00F0040E"/>
    <w:rsid w:val="00F00F1D"/>
    <w:rsid w:val="00F02861"/>
    <w:rsid w:val="00F05182"/>
    <w:rsid w:val="00F0586F"/>
    <w:rsid w:val="00F07EFD"/>
    <w:rsid w:val="00F106E1"/>
    <w:rsid w:val="00F10A9A"/>
    <w:rsid w:val="00F10AC8"/>
    <w:rsid w:val="00F113F4"/>
    <w:rsid w:val="00F13EA6"/>
    <w:rsid w:val="00F156A8"/>
    <w:rsid w:val="00F15EA1"/>
    <w:rsid w:val="00F161DB"/>
    <w:rsid w:val="00F162FC"/>
    <w:rsid w:val="00F20DF1"/>
    <w:rsid w:val="00F2111F"/>
    <w:rsid w:val="00F22E07"/>
    <w:rsid w:val="00F232E5"/>
    <w:rsid w:val="00F2374F"/>
    <w:rsid w:val="00F25707"/>
    <w:rsid w:val="00F2791D"/>
    <w:rsid w:val="00F27C8E"/>
    <w:rsid w:val="00F30BDA"/>
    <w:rsid w:val="00F32447"/>
    <w:rsid w:val="00F33727"/>
    <w:rsid w:val="00F33A8E"/>
    <w:rsid w:val="00F34103"/>
    <w:rsid w:val="00F366EE"/>
    <w:rsid w:val="00F36B20"/>
    <w:rsid w:val="00F376C8"/>
    <w:rsid w:val="00F37723"/>
    <w:rsid w:val="00F3797F"/>
    <w:rsid w:val="00F414E6"/>
    <w:rsid w:val="00F41771"/>
    <w:rsid w:val="00F4242D"/>
    <w:rsid w:val="00F43300"/>
    <w:rsid w:val="00F44F36"/>
    <w:rsid w:val="00F45837"/>
    <w:rsid w:val="00F50538"/>
    <w:rsid w:val="00F51DB7"/>
    <w:rsid w:val="00F52D31"/>
    <w:rsid w:val="00F55348"/>
    <w:rsid w:val="00F55589"/>
    <w:rsid w:val="00F57321"/>
    <w:rsid w:val="00F60261"/>
    <w:rsid w:val="00F62FF7"/>
    <w:rsid w:val="00F6557A"/>
    <w:rsid w:val="00F657C3"/>
    <w:rsid w:val="00F6663F"/>
    <w:rsid w:val="00F67AFA"/>
    <w:rsid w:val="00F703C9"/>
    <w:rsid w:val="00F72A96"/>
    <w:rsid w:val="00F7619C"/>
    <w:rsid w:val="00F7795D"/>
    <w:rsid w:val="00F80491"/>
    <w:rsid w:val="00F80712"/>
    <w:rsid w:val="00F817B6"/>
    <w:rsid w:val="00F8387B"/>
    <w:rsid w:val="00F83AB8"/>
    <w:rsid w:val="00F855B1"/>
    <w:rsid w:val="00F872AC"/>
    <w:rsid w:val="00F9133C"/>
    <w:rsid w:val="00F94938"/>
    <w:rsid w:val="00F97B5D"/>
    <w:rsid w:val="00FA14D7"/>
    <w:rsid w:val="00FA400E"/>
    <w:rsid w:val="00FA53BF"/>
    <w:rsid w:val="00FA5745"/>
    <w:rsid w:val="00FA5925"/>
    <w:rsid w:val="00FA7AFB"/>
    <w:rsid w:val="00FB1E67"/>
    <w:rsid w:val="00FB24FA"/>
    <w:rsid w:val="00FB6452"/>
    <w:rsid w:val="00FB6490"/>
    <w:rsid w:val="00FB6B83"/>
    <w:rsid w:val="00FB6FA1"/>
    <w:rsid w:val="00FB794C"/>
    <w:rsid w:val="00FC049A"/>
    <w:rsid w:val="00FC17DE"/>
    <w:rsid w:val="00FC31AD"/>
    <w:rsid w:val="00FC3A43"/>
    <w:rsid w:val="00FC50E1"/>
    <w:rsid w:val="00FC5E4D"/>
    <w:rsid w:val="00FC612A"/>
    <w:rsid w:val="00FC6223"/>
    <w:rsid w:val="00FC6450"/>
    <w:rsid w:val="00FC6F80"/>
    <w:rsid w:val="00FD1AE1"/>
    <w:rsid w:val="00FD1CDA"/>
    <w:rsid w:val="00FD32BA"/>
    <w:rsid w:val="00FD3A92"/>
    <w:rsid w:val="00FD6A70"/>
    <w:rsid w:val="00FE1D30"/>
    <w:rsid w:val="00FE2C2E"/>
    <w:rsid w:val="00FE3318"/>
    <w:rsid w:val="00FE381F"/>
    <w:rsid w:val="00FE5BAF"/>
    <w:rsid w:val="00FE7F59"/>
    <w:rsid w:val="00FF53EA"/>
    <w:rsid w:val="00FF5C46"/>
    <w:rsid w:val="00FF60F3"/>
    <w:rsid w:val="00FF64D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6"/>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uiPriority w:val="99"/>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4837</Words>
  <Characters>27571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5</cp:revision>
  <cp:lastPrinted>2022-10-11T07:26:00Z</cp:lastPrinted>
  <dcterms:created xsi:type="dcterms:W3CDTF">2022-11-25T04:40:00Z</dcterms:created>
  <dcterms:modified xsi:type="dcterms:W3CDTF">2022-11-25T05:43:00Z</dcterms:modified>
</cp:coreProperties>
</file>